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593D">
      <w:pPr>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cs="Book Antiqua"/>
          <w:b/>
          <w:bCs/>
          <w:sz w:val="24"/>
          <w:szCs w:val="24"/>
        </w:rPr>
      </w:pPr>
      <w:r>
        <w:rPr>
          <w:rFonts w:hint="default" w:ascii="Book Antiqua" w:hAnsi="Book Antiqua"/>
          <w:b/>
          <w:bCs/>
          <w:sz w:val="24"/>
          <w:szCs w:val="24"/>
        </w:rPr>
        <w:t>ENHANCING MANAGERIAL INTRAPRENEURSHIP: THE INFLUENCE OF PSYCHOLOGICAL CAPITAL, WELL-BEING, WORK–LIFE BALANCE, AND LEARNING AGILITY THROUGH INNOVATIVE WORK BEHAVIOR</w:t>
      </w:r>
    </w:p>
    <w:p w14:paraId="3DB55C2F">
      <w:pPr>
        <w:pStyle w:val="17"/>
        <w:keepNext w:val="0"/>
        <w:keepLines w:val="0"/>
        <w:pageBreakBefore w:val="0"/>
        <w:widowControl/>
        <w:kinsoku/>
        <w:wordWrap/>
        <w:overflowPunct/>
        <w:topLinePunct w:val="0"/>
        <w:bidi w:val="0"/>
        <w:snapToGrid/>
        <w:spacing w:beforeAutospacing="0" w:after="0" w:line="240" w:lineRule="auto"/>
        <w:textAlignment w:val="auto"/>
        <w:rPr>
          <w:rFonts w:hint="default" w:ascii="Book Antiqua" w:hAnsi="Book Antiqua" w:cs="Book Antiqua"/>
          <w:lang w:val="en-US"/>
        </w:rPr>
      </w:pPr>
    </w:p>
    <w:p w14:paraId="18EE3F67">
      <w:pPr>
        <w:pStyle w:val="17"/>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b/>
          <w:bCs/>
        </w:rPr>
      </w:pPr>
      <w:r>
        <w:rPr>
          <w:rFonts w:hint="default" w:ascii="Book Antiqua" w:hAnsi="Book Antiqua" w:cs="Book Antiqua"/>
          <w:b/>
          <w:bCs/>
          <w:vertAlign w:val="superscript"/>
          <w:lang w:val="en-US"/>
        </w:rPr>
        <w:t>1</w:t>
      </w:r>
      <w:r>
        <w:rPr>
          <w:rFonts w:hint="default" w:ascii="Book Antiqua" w:hAnsi="Book Antiqua"/>
          <w:b/>
          <w:bCs/>
        </w:rPr>
        <w:t>Nabila Nazir</w:t>
      </w:r>
      <w:r>
        <w:rPr>
          <w:rFonts w:hint="default" w:ascii="Book Antiqua" w:hAnsi="Book Antiqua"/>
          <w:b/>
          <w:bCs/>
          <w:lang w:val="en-US"/>
        </w:rPr>
        <w:t xml:space="preserve">, </w:t>
      </w:r>
      <w:r>
        <w:rPr>
          <w:rFonts w:hint="default" w:ascii="Book Antiqua" w:hAnsi="Book Antiqua"/>
          <w:b/>
          <w:bCs/>
          <w:vertAlign w:val="superscript"/>
          <w:lang w:val="en-US"/>
        </w:rPr>
        <w:t>*</w:t>
      </w:r>
      <w:r>
        <w:rPr>
          <w:rFonts w:hint="default" w:ascii="Book Antiqua" w:hAnsi="Book Antiqua"/>
          <w:b/>
          <w:bCs/>
          <w:vertAlign w:val="superscript"/>
        </w:rPr>
        <w:t>2</w:t>
      </w:r>
      <w:r>
        <w:rPr>
          <w:rFonts w:hint="default" w:ascii="Book Antiqua" w:hAnsi="Book Antiqua"/>
          <w:b/>
          <w:bCs/>
        </w:rPr>
        <w:t>Dr. Haji Rahman</w:t>
      </w:r>
      <w:r>
        <w:rPr>
          <w:rFonts w:hint="default" w:ascii="Book Antiqua" w:hAnsi="Book Antiqua"/>
          <w:b/>
          <w:bCs/>
          <w:lang w:val="en-US"/>
        </w:rPr>
        <w:t xml:space="preserve">, </w:t>
      </w:r>
      <w:r>
        <w:rPr>
          <w:rFonts w:hint="default" w:ascii="Book Antiqua" w:hAnsi="Book Antiqua"/>
          <w:b/>
          <w:bCs/>
          <w:vertAlign w:val="superscript"/>
          <w:lang w:val="en-US"/>
        </w:rPr>
        <w:t>3</w:t>
      </w:r>
      <w:r>
        <w:rPr>
          <w:rFonts w:hint="default" w:ascii="Book Antiqua" w:hAnsi="Book Antiqua"/>
          <w:b/>
          <w:bCs/>
        </w:rPr>
        <w:t>Muhammad Faiz Muhammad</w:t>
      </w:r>
    </w:p>
    <w:p w14:paraId="7E6301B9">
      <w:pPr>
        <w:pStyle w:val="17"/>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b w:val="0"/>
          <w:bCs w:val="0"/>
          <w:vertAlign w:val="superscript"/>
          <w:lang w:val="en-US"/>
        </w:rPr>
      </w:pPr>
      <w:r>
        <w:rPr>
          <w:rFonts w:hint="default" w:ascii="Book Antiqua" w:hAnsi="Book Antiqua"/>
          <w:b w:val="0"/>
          <w:bCs w:val="0"/>
          <w:vertAlign w:val="superscript"/>
          <w:lang w:val="en-US"/>
        </w:rPr>
        <w:t>1</w:t>
      </w:r>
      <w:r>
        <w:rPr>
          <w:rFonts w:hint="default" w:ascii="Book Antiqua" w:hAnsi="Book Antiqua"/>
          <w:b w:val="0"/>
          <w:bCs w:val="0"/>
          <w:lang w:val="en-US"/>
        </w:rPr>
        <w:t>Assistant Professor, Department of Management Sciences, Comsats University Islamabad.</w:t>
      </w:r>
    </w:p>
    <w:p w14:paraId="2882FCD9">
      <w:pPr>
        <w:pStyle w:val="17"/>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b w:val="0"/>
          <w:bCs w:val="0"/>
          <w:lang w:val="en-US"/>
        </w:rPr>
      </w:pPr>
      <w:r>
        <w:rPr>
          <w:rFonts w:hint="default" w:ascii="Book Antiqua" w:hAnsi="Book Antiqua"/>
          <w:b w:val="0"/>
          <w:bCs w:val="0"/>
          <w:vertAlign w:val="superscript"/>
          <w:lang w:val="en-US"/>
        </w:rPr>
        <w:t>*2</w:t>
      </w:r>
      <w:r>
        <w:rPr>
          <w:rFonts w:hint="default" w:ascii="Book Antiqua" w:hAnsi="Book Antiqua"/>
          <w:b w:val="0"/>
          <w:bCs w:val="0"/>
          <w:lang w:val="en-US"/>
        </w:rPr>
        <w:t xml:space="preserve">Assistant Professor, Department of Management Sciences, University of Buner. </w:t>
      </w:r>
    </w:p>
    <w:p w14:paraId="5CF20024">
      <w:pPr>
        <w:pStyle w:val="17"/>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b w:val="0"/>
          <w:bCs w:val="0"/>
          <w:lang w:val="en-US"/>
        </w:rPr>
      </w:pPr>
      <w:r>
        <w:rPr>
          <w:rFonts w:hint="default" w:ascii="Book Antiqua" w:hAnsi="Book Antiqua"/>
          <w:b w:val="0"/>
          <w:bCs w:val="0"/>
          <w:vertAlign w:val="superscript"/>
          <w:lang w:val="en-US"/>
        </w:rPr>
        <w:t>3</w:t>
      </w:r>
      <w:r>
        <w:rPr>
          <w:rFonts w:hint="default" w:ascii="Book Antiqua" w:hAnsi="Book Antiqua"/>
          <w:b w:val="0"/>
          <w:bCs w:val="0"/>
          <w:lang w:val="en-US"/>
        </w:rPr>
        <w:t xml:space="preserve">Asia e University, Malaysia. </w:t>
      </w:r>
    </w:p>
    <w:p w14:paraId="6914B132">
      <w:pPr>
        <w:pStyle w:val="17"/>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b w:val="0"/>
          <w:bCs w:val="0"/>
          <w:i/>
          <w:iCs/>
          <w:lang w:val="en-US"/>
        </w:rPr>
      </w:pPr>
      <w:r>
        <w:rPr>
          <w:rFonts w:hint="default" w:ascii="Book Antiqua" w:hAnsi="Book Antiqua"/>
          <w:b w:val="0"/>
          <w:bCs w:val="0"/>
          <w:i/>
          <w:iCs/>
          <w:lang w:val="en-US"/>
        </w:rPr>
        <w:t xml:space="preserve">Email: </w:t>
      </w:r>
      <w:r>
        <w:rPr>
          <w:rFonts w:hint="default" w:ascii="Book Antiqua" w:hAnsi="Book Antiqua"/>
          <w:b w:val="0"/>
          <w:bCs w:val="0"/>
          <w:i/>
          <w:iCs/>
          <w:lang w:val="en-US"/>
        </w:rPr>
        <w:fldChar w:fldCharType="begin"/>
      </w:r>
      <w:r>
        <w:rPr>
          <w:rFonts w:hint="default" w:ascii="Book Antiqua" w:hAnsi="Book Antiqua"/>
          <w:b w:val="0"/>
          <w:bCs w:val="0"/>
          <w:i/>
          <w:iCs/>
          <w:lang w:val="en-US"/>
        </w:rPr>
        <w:instrText xml:space="preserve"> HYPERLINK "mailto:nabila@comsats.edu.pk" </w:instrText>
      </w:r>
      <w:r>
        <w:rPr>
          <w:rFonts w:hint="default" w:ascii="Book Antiqua" w:hAnsi="Book Antiqua"/>
          <w:b w:val="0"/>
          <w:bCs w:val="0"/>
          <w:i/>
          <w:iCs/>
          <w:lang w:val="en-US"/>
        </w:rPr>
        <w:fldChar w:fldCharType="separate"/>
      </w:r>
      <w:r>
        <w:rPr>
          <w:rStyle w:val="13"/>
          <w:rFonts w:hint="default" w:ascii="Book Antiqua" w:hAnsi="Book Antiqua"/>
          <w:b w:val="0"/>
          <w:bCs w:val="0"/>
          <w:i/>
          <w:iCs/>
          <w:lang w:val="en-US"/>
        </w:rPr>
        <w:t>nabila@comsats.edu.pk</w:t>
      </w:r>
      <w:r>
        <w:rPr>
          <w:rFonts w:hint="default" w:ascii="Book Antiqua" w:hAnsi="Book Antiqua"/>
          <w:b w:val="0"/>
          <w:bCs w:val="0"/>
          <w:i/>
          <w:iCs/>
          <w:lang w:val="en-US"/>
        </w:rPr>
        <w:fldChar w:fldCharType="end"/>
      </w:r>
      <w:r>
        <w:rPr>
          <w:rFonts w:hint="default" w:ascii="Book Antiqua" w:hAnsi="Book Antiqua"/>
          <w:b w:val="0"/>
          <w:bCs w:val="0"/>
          <w:i/>
          <w:iCs/>
          <w:lang w:val="en-US"/>
        </w:rPr>
        <w:t xml:space="preserve"> </w:t>
      </w:r>
    </w:p>
    <w:p w14:paraId="721EAEB9">
      <w:pPr>
        <w:pStyle w:val="17"/>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b w:val="0"/>
          <w:bCs w:val="0"/>
          <w:i/>
          <w:iCs/>
          <w:lang w:val="en-US"/>
        </w:rPr>
      </w:pPr>
      <w:r>
        <w:rPr>
          <w:rFonts w:hint="default" w:ascii="Book Antiqua" w:hAnsi="Book Antiqua"/>
          <w:b w:val="0"/>
          <w:bCs w:val="0"/>
          <w:i/>
          <w:iCs/>
          <w:vertAlign w:val="superscript"/>
          <w:lang w:val="en-US"/>
        </w:rPr>
        <w:t>*</w:t>
      </w:r>
      <w:r>
        <w:rPr>
          <w:rFonts w:hint="default" w:ascii="Book Antiqua" w:hAnsi="Book Antiqua"/>
          <w:b w:val="0"/>
          <w:bCs w:val="0"/>
          <w:i/>
          <w:iCs/>
          <w:lang w:val="en-US"/>
        </w:rPr>
        <w:t xml:space="preserve">Email: </w:t>
      </w:r>
      <w:r>
        <w:rPr>
          <w:rFonts w:hint="default" w:ascii="Book Antiqua" w:hAnsi="Book Antiqua"/>
          <w:b w:val="0"/>
          <w:bCs w:val="0"/>
          <w:i/>
          <w:iCs/>
          <w:lang w:val="en-US"/>
        </w:rPr>
        <w:fldChar w:fldCharType="begin"/>
      </w:r>
      <w:r>
        <w:rPr>
          <w:rFonts w:hint="default" w:ascii="Book Antiqua" w:hAnsi="Book Antiqua"/>
          <w:b w:val="0"/>
          <w:bCs w:val="0"/>
          <w:i/>
          <w:iCs/>
          <w:lang w:val="en-US"/>
        </w:rPr>
        <w:instrText xml:space="preserve"> HYPERLINK "mailto:haji616@ubuner.edu.pk" </w:instrText>
      </w:r>
      <w:r>
        <w:rPr>
          <w:rFonts w:hint="default" w:ascii="Book Antiqua" w:hAnsi="Book Antiqua"/>
          <w:b w:val="0"/>
          <w:bCs w:val="0"/>
          <w:i/>
          <w:iCs/>
          <w:lang w:val="en-US"/>
        </w:rPr>
        <w:fldChar w:fldCharType="separate"/>
      </w:r>
      <w:r>
        <w:rPr>
          <w:rStyle w:val="13"/>
          <w:rFonts w:hint="default" w:ascii="Book Antiqua" w:hAnsi="Book Antiqua"/>
          <w:b w:val="0"/>
          <w:bCs w:val="0"/>
          <w:i/>
          <w:iCs/>
          <w:lang w:val="en-US"/>
        </w:rPr>
        <w:t>haji616@ubuner.edu.pk</w:t>
      </w:r>
      <w:r>
        <w:rPr>
          <w:rFonts w:hint="default" w:ascii="Book Antiqua" w:hAnsi="Book Antiqua"/>
          <w:b w:val="0"/>
          <w:bCs w:val="0"/>
          <w:i/>
          <w:iCs/>
          <w:lang w:val="en-US"/>
        </w:rPr>
        <w:fldChar w:fldCharType="end"/>
      </w:r>
      <w:r>
        <w:rPr>
          <w:rFonts w:hint="default" w:ascii="Book Antiqua" w:hAnsi="Book Antiqua"/>
          <w:b w:val="0"/>
          <w:bCs w:val="0"/>
          <w:i/>
          <w:iCs/>
          <w:lang w:val="en-US"/>
        </w:rPr>
        <w:t xml:space="preserve"> </w:t>
      </w:r>
    </w:p>
    <w:p w14:paraId="569251A4">
      <w:pPr>
        <w:pStyle w:val="17"/>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b w:val="0"/>
          <w:bCs w:val="0"/>
          <w:i/>
          <w:iCs/>
          <w:lang w:val="en-US"/>
        </w:rPr>
      </w:pPr>
      <w:r>
        <w:rPr>
          <w:rFonts w:hint="default" w:ascii="Book Antiqua" w:hAnsi="Book Antiqua"/>
          <w:b w:val="0"/>
          <w:bCs w:val="0"/>
          <w:i/>
          <w:iCs/>
          <w:lang w:val="en-US"/>
        </w:rPr>
        <w:t xml:space="preserve">Email: </w:t>
      </w:r>
      <w:r>
        <w:rPr>
          <w:rFonts w:hint="default" w:ascii="Book Antiqua" w:hAnsi="Book Antiqua"/>
          <w:b w:val="0"/>
          <w:bCs w:val="0"/>
          <w:i/>
          <w:iCs/>
          <w:lang w:val="en-US"/>
        </w:rPr>
        <w:fldChar w:fldCharType="begin"/>
      </w:r>
      <w:r>
        <w:rPr>
          <w:rFonts w:hint="default" w:ascii="Book Antiqua" w:hAnsi="Book Antiqua"/>
          <w:b w:val="0"/>
          <w:bCs w:val="0"/>
          <w:i/>
          <w:iCs/>
          <w:lang w:val="en-US"/>
        </w:rPr>
        <w:instrText xml:space="preserve"> HYPERLINK "mailto:bloshi_sa@hotmail.com" </w:instrText>
      </w:r>
      <w:r>
        <w:rPr>
          <w:rFonts w:hint="default" w:ascii="Book Antiqua" w:hAnsi="Book Antiqua"/>
          <w:b w:val="0"/>
          <w:bCs w:val="0"/>
          <w:i/>
          <w:iCs/>
          <w:lang w:val="en-US"/>
        </w:rPr>
        <w:fldChar w:fldCharType="separate"/>
      </w:r>
      <w:r>
        <w:rPr>
          <w:rStyle w:val="13"/>
          <w:rFonts w:hint="default" w:ascii="Book Antiqua" w:hAnsi="Book Antiqua"/>
          <w:b w:val="0"/>
          <w:bCs w:val="0"/>
          <w:i/>
          <w:iCs/>
          <w:lang w:val="en-US"/>
        </w:rPr>
        <w:t>bloshi_sa@hotmail.com</w:t>
      </w:r>
      <w:r>
        <w:rPr>
          <w:rFonts w:hint="default" w:ascii="Book Antiqua" w:hAnsi="Book Antiqua"/>
          <w:b w:val="0"/>
          <w:bCs w:val="0"/>
          <w:i/>
          <w:iCs/>
          <w:lang w:val="en-US"/>
        </w:rPr>
        <w:fldChar w:fldCharType="end"/>
      </w:r>
      <w:r>
        <w:rPr>
          <w:rFonts w:hint="default" w:ascii="Book Antiqua" w:hAnsi="Book Antiqua"/>
          <w:b w:val="0"/>
          <w:bCs w:val="0"/>
          <w:i/>
          <w:iCs/>
          <w:lang w:val="en-US"/>
        </w:rPr>
        <w:t xml:space="preserve">      </w:t>
      </w:r>
    </w:p>
    <w:p w14:paraId="7978E1E3">
      <w:pPr>
        <w:pStyle w:val="17"/>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i/>
          <w:iCs/>
          <w:vertAlign w:val="superscript"/>
          <w:lang w:val="en-US"/>
        </w:rPr>
      </w:pPr>
    </w:p>
    <w:tbl>
      <w:tblPr>
        <w:tblStyle w:val="16"/>
        <w:tblW w:w="9404" w:type="dxa"/>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2"/>
        <w:gridCol w:w="6562"/>
      </w:tblGrid>
      <w:tr w14:paraId="2C05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2" w:type="dxa"/>
          </w:tcPr>
          <w:p w14:paraId="31B882DB">
            <w:pPr>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cs="Book Antiqua"/>
                <w:b/>
                <w:bCs/>
                <w:sz w:val="24"/>
                <w:szCs w:val="24"/>
                <w:vertAlign w:val="baseline"/>
                <w:lang w:val="en-US"/>
              </w:rPr>
            </w:pPr>
            <w:r>
              <w:rPr>
                <w:rFonts w:hint="default" w:ascii="Book Antiqua" w:hAnsi="Book Antiqua" w:cs="Book Antiqua"/>
                <w:b/>
                <w:bCs/>
                <w:sz w:val="24"/>
                <w:szCs w:val="24"/>
                <w:vertAlign w:val="baseline"/>
                <w:lang w:val="en-US"/>
              </w:rPr>
              <w:t>Article History</w:t>
            </w:r>
          </w:p>
        </w:tc>
        <w:tc>
          <w:tcPr>
            <w:tcW w:w="6562" w:type="dxa"/>
          </w:tcPr>
          <w:p w14:paraId="683D736E">
            <w:pPr>
              <w:keepNext w:val="0"/>
              <w:keepLines w:val="0"/>
              <w:pageBreakBefore w:val="0"/>
              <w:widowControl/>
              <w:kinsoku/>
              <w:wordWrap/>
              <w:overflowPunct/>
              <w:topLinePunct w:val="0"/>
              <w:bidi w:val="0"/>
              <w:snapToGrid/>
              <w:spacing w:beforeAutospacing="0" w:after="0" w:line="240" w:lineRule="auto"/>
              <w:jc w:val="center"/>
              <w:textAlignment w:val="auto"/>
              <w:rPr>
                <w:rFonts w:hint="default" w:ascii="Book Antiqua" w:hAnsi="Book Antiqua" w:cs="Book Antiqua"/>
                <w:b/>
                <w:bCs/>
                <w:sz w:val="24"/>
                <w:szCs w:val="24"/>
                <w:vertAlign w:val="baseline"/>
                <w:lang w:val="en-US"/>
              </w:rPr>
            </w:pPr>
            <w:r>
              <w:rPr>
                <w:rFonts w:hint="default" w:ascii="Book Antiqua" w:hAnsi="Book Antiqua" w:cs="Book Antiqua"/>
                <w:b/>
                <w:bCs/>
                <w:sz w:val="24"/>
                <w:szCs w:val="24"/>
                <w:vertAlign w:val="baseline"/>
                <w:lang w:val="en-US"/>
              </w:rPr>
              <w:t>Abstract</w:t>
            </w:r>
          </w:p>
        </w:tc>
      </w:tr>
      <w:tr w14:paraId="54C5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2" w:type="dxa"/>
          </w:tcPr>
          <w:p w14:paraId="47396893">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i/>
                <w:iCs/>
                <w:sz w:val="20"/>
                <w:szCs w:val="20"/>
              </w:rPr>
            </w:pPr>
            <w:r>
              <w:rPr>
                <w:rFonts w:hint="default" w:ascii="Book Antiqua" w:hAnsi="Book Antiqua" w:cs="Book Antiqua"/>
                <w:b/>
                <w:bCs/>
                <w:i/>
                <w:iCs/>
                <w:sz w:val="20"/>
                <w:szCs w:val="20"/>
              </w:rPr>
              <w:t>Keywords:</w:t>
            </w:r>
            <w:r>
              <w:rPr>
                <w:rFonts w:hint="default" w:ascii="Book Antiqua" w:hAnsi="Book Antiqua" w:cs="Book Antiqua"/>
                <w:i/>
                <w:iCs/>
                <w:sz w:val="20"/>
                <w:szCs w:val="20"/>
              </w:rPr>
              <w:t xml:space="preserve"> </w:t>
            </w:r>
          </w:p>
          <w:p w14:paraId="28A5A4E7">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4"/>
                <w:szCs w:val="24"/>
                <w:vertAlign w:val="baseline"/>
                <w:lang w:val="en-US"/>
              </w:rPr>
            </w:pPr>
            <w:r>
              <w:rPr>
                <w:rFonts w:hint="default" w:ascii="Book Antiqua" w:hAnsi="Book Antiqua"/>
                <w:i/>
                <w:iCs/>
                <w:sz w:val="20"/>
                <w:szCs w:val="20"/>
              </w:rPr>
              <w:t>Psychological capital, Employee well-being, Work–life balance, Learning agility, Innovative work behavior, Managerial intrapreneurship, Conservation of Resources theory</w:t>
            </w:r>
          </w:p>
        </w:tc>
        <w:tc>
          <w:tcPr>
            <w:tcW w:w="6562" w:type="dxa"/>
            <w:vMerge w:val="restart"/>
          </w:tcPr>
          <w:p w14:paraId="1915054E">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2"/>
                <w:szCs w:val="22"/>
                <w:vertAlign w:val="baseline"/>
              </w:rPr>
            </w:pPr>
            <w:r>
              <w:rPr>
                <w:rFonts w:hint="default" w:ascii="Book Antiqua" w:hAnsi="Book Antiqua"/>
                <w:i/>
                <w:iCs/>
                <w:sz w:val="22"/>
                <w:szCs w:val="22"/>
              </w:rPr>
              <w:t>Purpose – Drawing on Conservation of Resources theory, this study examines how four personal resources - psychological capital, employee well-being, work–life balance, and learning agility - influence managers' innovative work behavior, and whether innovative work behavior functions as the mechanism translating these resources into managerial intrapreneurship.</w:t>
            </w:r>
            <w:r>
              <w:rPr>
                <w:rFonts w:hint="default" w:ascii="Book Antiqua" w:hAnsi="Book Antiqua"/>
                <w:i/>
                <w:iCs/>
                <w:sz w:val="22"/>
                <w:szCs w:val="22"/>
                <w:lang w:val="en-US"/>
              </w:rPr>
              <w:t xml:space="preserve"> </w:t>
            </w:r>
            <w:r>
              <w:rPr>
                <w:rFonts w:hint="default" w:ascii="Book Antiqua" w:hAnsi="Book Antiqua"/>
                <w:i/>
                <w:iCs/>
                <w:sz w:val="22"/>
                <w:szCs w:val="22"/>
              </w:rPr>
              <w:t>Design/methodology/approach – Adopting a positivist, deductive, quantitative design, data were collected via a cross-sectional survey of 241 managers in the banking sector using validated multi-item scales. The hypothesized model was tested through partial least squares structural equation modeling (PLS-SEM) in SmartPLS, following established measurement and structural model assessment procedures.</w:t>
            </w:r>
            <w:r>
              <w:rPr>
                <w:rFonts w:hint="default" w:ascii="Book Antiqua" w:hAnsi="Book Antiqua"/>
                <w:i/>
                <w:iCs/>
                <w:sz w:val="22"/>
                <w:szCs w:val="22"/>
                <w:lang w:val="en-US"/>
              </w:rPr>
              <w:t xml:space="preserve"> </w:t>
            </w:r>
            <w:r>
              <w:rPr>
                <w:rFonts w:hint="default" w:ascii="Book Antiqua" w:hAnsi="Book Antiqua"/>
                <w:i/>
                <w:iCs/>
                <w:sz w:val="22"/>
                <w:szCs w:val="22"/>
              </w:rPr>
              <w:t>Findings – All five hypotheses were supported. Learning agility and psychological capital emerged as the strongest antecedents of innovative work behavior, while well-being and work–life balance exerted significant but weaker, facilitative effects. Innovative work behavior demonstrated the strongest path in the model, confirming its role as the proximal behavioral mechanism linking personal resources to managerial intrapreneurship.</w:t>
            </w:r>
            <w:r>
              <w:rPr>
                <w:rFonts w:hint="default" w:ascii="Book Antiqua" w:hAnsi="Book Antiqua"/>
                <w:i/>
                <w:iCs/>
                <w:sz w:val="22"/>
                <w:szCs w:val="22"/>
                <w:lang w:val="en-US"/>
              </w:rPr>
              <w:t xml:space="preserve"> </w:t>
            </w:r>
            <w:r>
              <w:rPr>
                <w:rFonts w:hint="default" w:ascii="Book Antiqua" w:hAnsi="Book Antiqua"/>
                <w:i/>
                <w:iCs/>
                <w:sz w:val="22"/>
                <w:szCs w:val="22"/>
              </w:rPr>
              <w:t>Originality/value – This study offers one of the first integrated, resource-based examinations of managerial intrapreneurship that positions innovative work behavior as the central mediating mechanism, advancing both theory and practice in positive organizational behavior.</w:t>
            </w:r>
          </w:p>
        </w:tc>
      </w:tr>
      <w:tr w14:paraId="2257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42" w:type="dxa"/>
          </w:tcPr>
          <w:p w14:paraId="0CDEE317">
            <w:pPr>
              <w:spacing w:after="0" w:line="24" w:lineRule="atLeast"/>
              <w:rPr>
                <w:rFonts w:hint="default" w:ascii="Book Antiqua" w:hAnsi="Book Antiqua" w:cs="Book Antiqua"/>
                <w:b/>
                <w:bCs/>
                <w:color w:val="000000" w:themeColor="text1"/>
                <w:sz w:val="18"/>
                <w:szCs w:val="18"/>
                <w14:textFill>
                  <w14:solidFill>
                    <w14:schemeClr w14:val="tx1"/>
                  </w14:solidFill>
                </w14:textFill>
              </w:rPr>
            </w:pPr>
            <w:r>
              <w:rPr>
                <w:rFonts w:hint="default" w:ascii="Book Antiqua" w:hAnsi="Book Antiqua" w:cs="Book Antiqua"/>
                <w:b/>
                <w:bCs/>
                <w:color w:val="000000" w:themeColor="text1"/>
                <w:sz w:val="18"/>
                <w:szCs w:val="18"/>
                <w14:textFill>
                  <w14:solidFill>
                    <w14:schemeClr w14:val="tx1"/>
                  </w14:solidFill>
                </w14:textFill>
              </w:rPr>
              <w:t xml:space="preserve">Article History </w:t>
            </w:r>
          </w:p>
          <w:p w14:paraId="0CDEE318">
            <w:pPr>
              <w:spacing w:after="0" w:line="24" w:lineRule="atLeast"/>
              <w:rPr>
                <w:rFonts w:hint="default" w:ascii="Book Antiqua" w:hAnsi="Book Antiqua" w:cs="Book Antiqua"/>
                <w:i/>
                <w:color w:val="000000" w:themeColor="text1"/>
                <w:sz w:val="18"/>
                <w:szCs w:val="18"/>
                <w:lang w:val="en-US"/>
                <w14:textFill>
                  <w14:solidFill>
                    <w14:schemeClr w14:val="tx1"/>
                  </w14:solidFill>
                </w14:textFill>
              </w:rPr>
            </w:pPr>
            <w:r>
              <w:rPr>
                <w:rFonts w:hint="default" w:ascii="Book Antiqua" w:hAnsi="Book Antiqua" w:cs="Book Antiqua"/>
                <w:i/>
                <w:color w:val="000000" w:themeColor="text1"/>
                <w:sz w:val="18"/>
                <w:szCs w:val="18"/>
                <w14:textFill>
                  <w14:solidFill>
                    <w14:schemeClr w14:val="tx1"/>
                  </w14:solidFill>
                </w14:textFill>
              </w:rPr>
              <w:t xml:space="preserve">Received on </w:t>
            </w:r>
            <w:r>
              <w:rPr>
                <w:rFonts w:hint="default" w:ascii="Book Antiqua" w:hAnsi="Book Antiqua" w:cs="Book Antiqua"/>
                <w:i/>
                <w:color w:val="000000" w:themeColor="text1"/>
                <w:sz w:val="18"/>
                <w:szCs w:val="18"/>
                <w:lang w:val="en-US"/>
                <w14:textFill>
                  <w14:solidFill>
                    <w14:schemeClr w14:val="tx1"/>
                  </w14:solidFill>
                </w14:textFill>
              </w:rPr>
              <w:t>15 May</w:t>
            </w:r>
            <w:r>
              <w:rPr>
                <w:rFonts w:hint="default" w:ascii="Book Antiqua" w:hAnsi="Book Antiqua" w:cs="Book Antiqua"/>
                <w:i/>
                <w:color w:val="000000" w:themeColor="text1"/>
                <w:sz w:val="18"/>
                <w:szCs w:val="18"/>
                <w14:textFill>
                  <w14:solidFill>
                    <w14:schemeClr w14:val="tx1"/>
                  </w14:solidFill>
                </w14:textFill>
              </w:rPr>
              <w:t xml:space="preserve"> 202</w:t>
            </w:r>
            <w:r>
              <w:rPr>
                <w:rFonts w:hint="default" w:ascii="Book Antiqua" w:hAnsi="Book Antiqua" w:cs="Book Antiqua"/>
                <w:i/>
                <w:color w:val="000000" w:themeColor="text1"/>
                <w:sz w:val="18"/>
                <w:szCs w:val="18"/>
                <w:lang w:val="en-US"/>
                <w14:textFill>
                  <w14:solidFill>
                    <w14:schemeClr w14:val="tx1"/>
                  </w14:solidFill>
                </w14:textFill>
              </w:rPr>
              <w:t>6</w:t>
            </w:r>
          </w:p>
          <w:p w14:paraId="0CDEE319">
            <w:pPr>
              <w:spacing w:after="0" w:line="24" w:lineRule="atLeast"/>
              <w:rPr>
                <w:rFonts w:hint="default" w:ascii="Book Antiqua" w:hAnsi="Book Antiqua" w:cs="Book Antiqua"/>
                <w:i/>
                <w:color w:val="000000" w:themeColor="text1"/>
                <w:sz w:val="18"/>
                <w:szCs w:val="18"/>
                <w:lang w:val="en-US"/>
                <w14:textFill>
                  <w14:solidFill>
                    <w14:schemeClr w14:val="tx1"/>
                  </w14:solidFill>
                </w14:textFill>
              </w:rPr>
            </w:pPr>
            <w:r>
              <w:rPr>
                <w:rFonts w:hint="default" w:ascii="Book Antiqua" w:hAnsi="Book Antiqua" w:cs="Book Antiqua"/>
                <w:i/>
                <w:color w:val="000000" w:themeColor="text1"/>
                <w:sz w:val="18"/>
                <w:szCs w:val="18"/>
                <w14:textFill>
                  <w14:solidFill>
                    <w14:schemeClr w14:val="tx1"/>
                  </w14:solidFill>
                </w14:textFill>
              </w:rPr>
              <w:t xml:space="preserve">Accepted on </w:t>
            </w:r>
            <w:r>
              <w:rPr>
                <w:rFonts w:hint="default" w:ascii="Book Antiqua" w:hAnsi="Book Antiqua" w:cs="Book Antiqua"/>
                <w:i/>
                <w:color w:val="000000" w:themeColor="text1"/>
                <w:sz w:val="18"/>
                <w:szCs w:val="18"/>
                <w:lang w:val="en-US"/>
                <w14:textFill>
                  <w14:solidFill>
                    <w14:schemeClr w14:val="tx1"/>
                  </w14:solidFill>
                </w14:textFill>
              </w:rPr>
              <w:t>12 June</w:t>
            </w:r>
            <w:r>
              <w:rPr>
                <w:rFonts w:hint="default" w:ascii="Book Antiqua" w:hAnsi="Book Antiqua" w:cs="Book Antiqua"/>
                <w:i/>
                <w:color w:val="000000" w:themeColor="text1"/>
                <w:sz w:val="18"/>
                <w:szCs w:val="18"/>
                <w14:textFill>
                  <w14:solidFill>
                    <w14:schemeClr w14:val="tx1"/>
                  </w14:solidFill>
                </w14:textFill>
              </w:rPr>
              <w:t xml:space="preserve"> 202</w:t>
            </w:r>
            <w:r>
              <w:rPr>
                <w:rFonts w:hint="default" w:ascii="Book Antiqua" w:hAnsi="Book Antiqua" w:cs="Book Antiqua"/>
                <w:i/>
                <w:color w:val="000000" w:themeColor="text1"/>
                <w:sz w:val="18"/>
                <w:szCs w:val="18"/>
                <w:lang w:val="en-US"/>
                <w14:textFill>
                  <w14:solidFill>
                    <w14:schemeClr w14:val="tx1"/>
                  </w14:solidFill>
                </w14:textFill>
              </w:rPr>
              <w:t>6</w:t>
            </w:r>
          </w:p>
          <w:p w14:paraId="3811B9B0">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4"/>
                <w:szCs w:val="24"/>
                <w:vertAlign w:val="baseline"/>
              </w:rPr>
            </w:pPr>
            <w:r>
              <w:rPr>
                <w:rFonts w:hint="default" w:ascii="Book Antiqua" w:hAnsi="Book Antiqua" w:cs="Book Antiqua"/>
                <w:i/>
                <w:color w:val="000000" w:themeColor="text1"/>
                <w:sz w:val="18"/>
                <w:szCs w:val="18"/>
                <w14:textFill>
                  <w14:solidFill>
                    <w14:schemeClr w14:val="tx1"/>
                  </w14:solidFill>
                </w14:textFill>
              </w:rPr>
              <w:t xml:space="preserve">Published on </w:t>
            </w:r>
            <w:r>
              <w:rPr>
                <w:rFonts w:hint="default" w:ascii="Book Antiqua" w:hAnsi="Book Antiqua" w:cs="Book Antiqua"/>
                <w:i/>
                <w:color w:val="000000" w:themeColor="text1"/>
                <w:sz w:val="18"/>
                <w:szCs w:val="18"/>
                <w:lang w:val="en-US"/>
                <w14:textFill>
                  <w14:solidFill>
                    <w14:schemeClr w14:val="tx1"/>
                  </w14:solidFill>
                </w14:textFill>
              </w:rPr>
              <w:t>13 June</w:t>
            </w:r>
            <w:r>
              <w:rPr>
                <w:rFonts w:hint="default" w:ascii="Book Antiqua" w:hAnsi="Book Antiqua" w:cs="Book Antiqua"/>
                <w:i/>
                <w:color w:val="000000" w:themeColor="text1"/>
                <w:sz w:val="18"/>
                <w:szCs w:val="18"/>
                <w14:textFill>
                  <w14:solidFill>
                    <w14:schemeClr w14:val="tx1"/>
                  </w14:solidFill>
                </w14:textFill>
              </w:rPr>
              <w:t xml:space="preserve"> 202</w:t>
            </w:r>
            <w:r>
              <w:rPr>
                <w:rFonts w:hint="default" w:ascii="Book Antiqua" w:hAnsi="Book Antiqua" w:cs="Book Antiqua"/>
                <w:i/>
                <w:color w:val="000000" w:themeColor="text1"/>
                <w:sz w:val="18"/>
                <w:szCs w:val="18"/>
                <w:lang w:val="en-US"/>
                <w14:textFill>
                  <w14:solidFill>
                    <w14:schemeClr w14:val="tx1"/>
                  </w14:solidFill>
                </w14:textFill>
              </w:rPr>
              <w:t>6</w:t>
            </w:r>
          </w:p>
        </w:tc>
        <w:tc>
          <w:tcPr>
            <w:tcW w:w="6562" w:type="dxa"/>
            <w:vMerge w:val="continue"/>
          </w:tcPr>
          <w:p w14:paraId="59B20DCD">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4"/>
                <w:szCs w:val="24"/>
                <w:vertAlign w:val="baseline"/>
              </w:rPr>
            </w:pPr>
          </w:p>
        </w:tc>
      </w:tr>
      <w:tr w14:paraId="3F73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2842" w:type="dxa"/>
          </w:tcPr>
          <w:p w14:paraId="66457301">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2"/>
                <w:szCs w:val="22"/>
                <w:vertAlign w:val="baseline"/>
              </w:rPr>
            </w:pPr>
            <w:r>
              <w:rPr>
                <w:rFonts w:hint="default" w:ascii="Book Antiqua" w:hAnsi="Book Antiqua" w:cs="Book Antiqua"/>
                <w:b/>
                <w:bCs/>
                <w:sz w:val="22"/>
                <w:szCs w:val="22"/>
                <w:vertAlign w:val="baseline"/>
              </w:rPr>
              <w:t>Copyright @Author</w:t>
            </w:r>
          </w:p>
          <w:p w14:paraId="310F136D">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2"/>
                <w:szCs w:val="22"/>
                <w:vertAlign w:val="baseline"/>
              </w:rPr>
            </w:pPr>
            <w:r>
              <w:rPr>
                <w:rFonts w:hint="default" w:ascii="Book Antiqua" w:hAnsi="Book Antiqua" w:cs="Book Antiqua"/>
                <w:b/>
                <w:bCs/>
                <w:sz w:val="22"/>
                <w:szCs w:val="22"/>
                <w:vertAlign w:val="baseline"/>
              </w:rPr>
              <w:t>Corresponding Author: *</w:t>
            </w:r>
          </w:p>
          <w:p w14:paraId="14F57A7B">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2"/>
                <w:szCs w:val="22"/>
                <w:vertAlign w:val="baseline"/>
              </w:rPr>
            </w:pPr>
            <w:r>
              <w:rPr>
                <w:rFonts w:hint="default" w:ascii="Book Antiqua" w:hAnsi="Book Antiqua"/>
                <w:b/>
                <w:bCs/>
              </w:rPr>
              <w:t>Dr. Haji Rahman</w:t>
            </w:r>
          </w:p>
          <w:p w14:paraId="4FADA4DB">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2"/>
                <w:szCs w:val="22"/>
                <w:vertAlign w:val="baseline"/>
              </w:rPr>
            </w:pPr>
          </w:p>
          <w:p w14:paraId="1946CEA8">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2"/>
                <w:szCs w:val="22"/>
                <w:vertAlign w:val="baseline"/>
                <w:lang w:val="en-US"/>
              </w:rPr>
            </w:pPr>
          </w:p>
        </w:tc>
        <w:tc>
          <w:tcPr>
            <w:tcW w:w="6562" w:type="dxa"/>
            <w:vMerge w:val="continue"/>
          </w:tcPr>
          <w:p w14:paraId="52A8136F">
            <w:pPr>
              <w:keepNext w:val="0"/>
              <w:keepLines w:val="0"/>
              <w:pageBreakBefore w:val="0"/>
              <w:widowControl/>
              <w:kinsoku/>
              <w:wordWrap/>
              <w:overflowPunct/>
              <w:topLinePunct w:val="0"/>
              <w:bidi w:val="0"/>
              <w:snapToGrid/>
              <w:spacing w:beforeAutospacing="0" w:after="0" w:line="240" w:lineRule="auto"/>
              <w:jc w:val="both"/>
              <w:textAlignment w:val="auto"/>
              <w:rPr>
                <w:rFonts w:hint="default" w:ascii="Book Antiqua" w:hAnsi="Book Antiqua" w:cs="Book Antiqua"/>
                <w:b/>
                <w:bCs/>
                <w:sz w:val="24"/>
                <w:szCs w:val="24"/>
                <w:vertAlign w:val="baseline"/>
              </w:rPr>
            </w:pPr>
          </w:p>
        </w:tc>
      </w:tr>
    </w:tbl>
    <w:p w14:paraId="1CF98FF5">
      <w:pPr>
        <w:rPr>
          <w:rFonts w:hint="default" w:ascii="Book Antiqua" w:hAnsi="Book Antiqua" w:cs="Book Antiqua"/>
          <w:b/>
          <w:sz w:val="24"/>
          <w:szCs w:val="24"/>
          <w:lang w:val="en-US"/>
        </w:rPr>
        <w:sectPr>
          <w:headerReference r:id="rId5" w:type="default"/>
          <w:footerReference r:id="rId6" w:type="default"/>
          <w:type w:val="continuous"/>
          <w:pgSz w:w="11906" w:h="16838"/>
          <w:pgMar w:top="1440" w:right="1800" w:bottom="1440" w:left="1800" w:header="720" w:footer="720" w:gutter="0"/>
          <w:pgNumType w:fmt="decimal"/>
          <w:cols w:space="425" w:num="1"/>
          <w:docGrid w:linePitch="360" w:charSpace="0"/>
        </w:sectPr>
      </w:pPr>
    </w:p>
    <w:p w14:paraId="148E287B">
      <w:pPr>
        <w:rPr>
          <w:rFonts w:hint="default" w:ascii="Book Antiqua" w:hAnsi="Book Antiqua" w:cs="Book Antiqua"/>
          <w:b/>
          <w:bCs/>
          <w:sz w:val="24"/>
          <w:szCs w:val="24"/>
        </w:rPr>
      </w:pPr>
      <w:r>
        <w:rPr>
          <w:rFonts w:hint="default" w:ascii="Book Antiqua" w:hAnsi="Book Antiqua" w:cs="Book Antiqua"/>
          <w:b/>
          <w:bCs/>
          <w:sz w:val="24"/>
          <w:szCs w:val="24"/>
        </w:rPr>
        <w:br w:type="page"/>
      </w:r>
    </w:p>
    <w:p w14:paraId="31CD9237">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rPr>
          <w:rFonts w:hint="default" w:ascii="Book Antiqua" w:hAnsi="Book Antiqua" w:cs="Book Antiqua"/>
          <w:b/>
          <w:bCs/>
          <w:sz w:val="24"/>
          <w:szCs w:val="24"/>
        </w:rPr>
        <w:sectPr>
          <w:type w:val="continuous"/>
          <w:pgSz w:w="11906" w:h="16838"/>
          <w:pgMar w:top="1440" w:right="1800" w:bottom="1440" w:left="1800" w:header="720" w:footer="720" w:gutter="0"/>
          <w:pgNumType w:fmt="decimal"/>
          <w:cols w:space="425" w:num="1"/>
          <w:docGrid w:linePitch="360" w:charSpace="0"/>
        </w:sectPr>
      </w:pPr>
    </w:p>
    <w:p w14:paraId="5F5650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Introduction</w:t>
      </w:r>
    </w:p>
    <w:p w14:paraId="3C5A26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Organizations today operate within volatile, technology-saturated environments where the capacity to renew products, processes, and ways of working has become a precondition for survival rather than a competitive luxury. A culture that encourages innovation also promotes intrapreneurship, prompting leaders to establish environments that value risk-taking and allow employees to explore new ideas without fear of failure. As artificial intelligence and digitalization reshape job structures, the half-life of learned skills has compressed sharply, and by 2025 nearly half of the global workforce required significant reskilling to remain relevant. In parallel, the pandemic permanently altered the employee experience, blurring work–life boundaries and tying engagement increasingly to flexibility, purpose-driven work, and innovation opportunities. Within this turbulence, innovative work behavior (IWB) - the generation, promotion, and implementation of useful ideas at work - has emerged as a central organizational asset. Understanding what enables employees, and especially managers, to behave innovatively is therefore both timely and consequential for sustained performance, resilience, and value creation across industries worldwide.</w:t>
      </w:r>
    </w:p>
    <w:p w14:paraId="55DF2CA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focus on innovation policies at the organizational level has increasingly given way to a focus on individual-level factors that influence innovative behaviour, specifically that of managers. The manager is in a pivotal position: as Berisha et al. (2025) state, the manager is to innovation as innovation is to organizations, and thus researchers and practitioners have looked at the conditions of antecedents of managerial innovative behavior. This managerial focus is a natural extension of intrapreneurship, which is the entrepreneurial action that occurs by individuals within an existing organization that results in the development of a new or improved product, service or work process (Antoncic &amp; Hisrich, 2003). The present study is located exactly in this intersection and looks at the influence of personal resources on IWB and thus on managerial intrapreneurship.</w:t>
      </w:r>
    </w:p>
    <w:p w14:paraId="51E21F0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Psychological capital (PsyCap) is a positive resource that is malleable and has been consistently associated with innovation, including self-efficacy, hope, optimism and resilience. There have been several studies that have found a positive correlation between PsyCap and IWB in various contexts and settings (Adikara &amp; Soetjipto, 2021; Alwali, 2024; Chen et al., 2021). Employee well-being also promotes innovation, as innovative behaviors themselves boost employees' skills and fulfill their intrinsic desire for self-actualization, which in turn improves their well-being in the workplace (Wang et al., 2022). Work–life balance is positively related to motivation and engagement (Kasperczuk et al., 2025); learning agility is one of the most important skills for workers to adapt to the rapidly changing world and is linked to IWB and performance.</w:t>
      </w:r>
    </w:p>
    <w:p w14:paraId="1E8D8A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Yet there are a number of gaps in this growing body of evidence. Although the significance of intrapreneurship has been proven, the literature on personal resources that support intrapreneurship is still limited and theoretically underdeveloped (Aydin et al., 2024; Lajçi, 2025). Although there is evidence that personal resources are important individual antecedents of innovative behaviour, the field has still not a comprehensive understanding of the way these resources work in an organizational context. This gap is especially evident when it comes to the psychological processes that underlie how individual resources can lead to intrapreneurial outcomes, and practitioners are lacking guidance on these processes (Berisha et al., 2025). Existing studies have investigated PsyCap, well-being, work–life balance and learning agility separately from each other, and not as a package of personal resources that act as a single mediating mechanism. Much of the evidence is sector- or context-specific and may not be applicable in different contexts or cultures (Montes et al., 2025; Sun et al., 2023). Importantly, the mediation of IWB between bundled personal resources and managerial intrapreneurship has not been explicitly modeled before. This gap is significant because, if it is not identified, then organizations are unable to create targeted interventions that would help them to transform latent psychological resources into concrete intrapreneurial activity.</w:t>
      </w:r>
    </w:p>
    <w:p w14:paraId="12C2F5B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practical challenge faced by today's organizations is that investing in employee psychological resources, well-being programs, work–life balance initiatives, learning-and-development systems, and so on, is not a guarantee of intrapreneurial results. Managers can have a lot of resources in their own arsenal and not use them in the ways that lead to renewal in the organization—namely, venturing, risk taking, and implementing ideas. The missing link is behavioral: it is not clear how and through what mechanism these become managerial intrapreneurship. Because of the influence of individual behaviour on the outcomes of a firm, intrapreneurial behaviour is key to value creation (Nadler &amp; Tushman, 1980), but there is no empirically validated model that explains the path from individual resources to intrapreneurial action. The relationship between these two factors would not be clarified if innovative work behavior is not an intermediate factor, or else resource investments may not be leveraged. This study thus aims to answer the question of how psychological capital, employee well-being, work–life balance and learning agility combine to produce managerial intrapreneurship via IWB.</w:t>
      </w:r>
    </w:p>
    <w:p w14:paraId="1B303C4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purpose of this study is to analyze the impact of psychological capital, employee well-being, work–life balance and learning agility on innovative work behavior, and to explore if innovative work behavior plays a mediation role between the above-mentioned personal resources and managerial intrapreneurship in the context of today's organizations.</w:t>
      </w:r>
    </w:p>
    <w:p w14:paraId="3EEC836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study is based on the Conservation of Resources (COR) theory and the Job Demands–Resources (JD-R) model, which both explain how personal resources build up, result in motivational gains and trigger innovative behavior (Hobfoll, 2011; Bakker &amp; Demerouti, 2017). In these frameworks, PsyCap, well-being, work–life balance, and learning agility are all resources that help drive intrapreneurial outcomes. Theoretically, the study contributes to the research on intrapreneurship by combining the perspective of the positive organizational behavior (Berisha et al., 2025) with the field of entrepreneurship. In practical terms, it provides managers with guidance based on evidence to transform personal resources into intrapreneurial action by innovative behaviour. In terms of context, it offers new empirical understanding of managerial intrapreneurship in an under-researched context, enhancing the COR and JD-R literatures.</w:t>
      </w:r>
    </w:p>
    <w:p w14:paraId="20FECFC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Theoretical Foundation</w:t>
      </w:r>
    </w:p>
    <w:p w14:paraId="23DBE8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study is grounded in the Conservation of Resources (COR) theory (Hobfoll, 1989, 2011) which offers a unified framework for understanding how personal resources are linked to innovative and intrapreneurial behaviors. The core of the theory is that people are naturally motivated to gain, hold on to, and increase valued resources and that having resources leads to more resources and not having resources leads to strain. According to the conservation of resources theory, individuals are motivated to gain new resources and to prevent resource loss, as the loss or lack of resources can drive up pressure (Halbesleben et al., 2014). In this context, psychological capital, well-being, work–life balance, and learning agility are personal resources that employees can use when facing the risk and uncertainty of innovation. The ability to do innovative work is extremely risky and difficult, and people need to have accumulated resources to do it comfortably, which makes COR a suitable explanatory mechanism for the model proposed. The theory also implies that these personal resources are mutually reinforcing and that they collectively increase the probability of IWB and intrapreneurship downstream, within the context of a "resource caravan. COR is often combined with the Job Demands–Resources (JD-R) model, as both theories emphasize the role of resources in the workplace, and both theories stress that employees seek to gain resources to effectively deal with job demands (Bakker et al., 2023), providing complementary motivational pathways.</w:t>
      </w:r>
    </w:p>
    <w:p w14:paraId="55903C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Previous uses of COR have shown its versatility, while also showing some limitations that are pertinent to this study. COR has been applied to understand the impact of PsyCap on engagement and innovative behaviors (George et al., 2023; Brennan, 2024), and to model how workplace support can foster career growth through the psychological capital–work–life balance (Conservation of Resources theory). Recent evidence has expanded on COR to demonstrate that overqualification can lead to competence-based resources that trigger innovative work behaviour, which is further strengthened by higher levels of job autonomy (Guo et al., 2024). But there are still three drawbacks. First, COR research has tended to focus on stress and coping and less on positive resource-driven innovation, thus limiting its generative potential. Second, most applications only look at a single resource, ignoring the fact that resources are bundled resources that act together as caravans. Third, COR has not been often applied to managerial intrapreneurship as a distal outcome, and the resource-to-venturing pathway has been under-theorized. This study fills these gaps by combining four personal resources in one model, and establishes IWB as the behavioral pathway to intrapreneurship—moving the theory from its traditional stress-centric domain to a positive organizational context.</w:t>
      </w:r>
    </w:p>
    <w:p w14:paraId="381CA46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ascii="Bookman Old Style" w:hAnsi="Bookman Old Style"/>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1E36DF7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ascii="Bookman Old Style" w:hAnsi="Bookman Old Style"/>
        </w:rPr>
      </w:pPr>
      <w:r>
        <w:rPr>
          <w:rFonts w:ascii="Bookman Old Style" w:hAnsi="Bookman Old Style"/>
        </w:rPr>
        <w:drawing>
          <wp:inline distT="0" distB="0" distL="0" distR="0">
            <wp:extent cx="5346065" cy="2727960"/>
            <wp:effectExtent l="0" t="0" r="6985" b="15240"/>
            <wp:docPr id="1942190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9010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46065" cy="2727960"/>
                    </a:xfrm>
                    <a:prstGeom prst="rect">
                      <a:avLst/>
                    </a:prstGeom>
                    <a:noFill/>
                    <a:ln>
                      <a:noFill/>
                    </a:ln>
                  </pic:spPr>
                </pic:pic>
              </a:graphicData>
            </a:graphic>
          </wp:inline>
        </w:drawing>
      </w:r>
    </w:p>
    <w:p w14:paraId="3C87961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403E5E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Relationship Among Variables</w:t>
      </w:r>
    </w:p>
    <w:p w14:paraId="5382183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Psychological capital (PsyCap) is a higher-order construct that consists of self-efficacy, hope, optimism and resilience, and is theorized to be a foundational personal resource that drives innovative work behavior. In conceptual terms, COR theory views PsyCap as a resource pool that employees draw from as they deal with the ambiguity and possible failure inherent in the process of idea generation and implementation; the confidence and persistence captured in PsyCap helps to reduce the use of resources during the innovative process. Empirically, studies have consistently shown that employees with high PsyCap are more likely to be innovative and perform better and multiple studies in different public and private settings have confirmed the positive relationship between PsyCap and IWB (Adikara &amp; Soetjipto, 2021; Alwali, 2024; Chen et al., 2021). For example, a study conducted in Iraqi public hospitals revealed that PsyCap had a positive impact on IWB (Alwali, 2024), and a study in higher education teachers in Pakistan showed that there was a significant relationship between PsyCap and IWB, indicating that PsyCap was a strong predictor of IWB (Wahid &amp; Ayub, 2024). The consistency of the relationship in the occupational and national contexts provides external validity for the relationship and is consistent with the resource-gain logic of COR.</w:t>
      </w:r>
    </w:p>
    <w:p w14:paraId="5CD4F8D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However, evidence is not consistent and mechanistically agreed upon, and thus open to critical examination. Research has been emerging that demonstrates that PsyCap's effects on IWB are indirect, through intervening states. The pure main-effect studies, for instance, missed out on boundary conditions, such as the moderating role of growth-need strength in the pathway by which leader PsyCap influenced employee innovative behavior (Wu et al., 2021). In terms of methodology, many of these studies have cross-sectional, single-source designs that are susceptible to common-method bias and reverse causation and effect sizes are highly inconsistent across cultural contexts, suggesting the presence of unmodelled moderators. Secondly, most evidence is based on non-managerial samples, while managerial PsyCap – where decision latitude is likely to increase the leverage of resources – is relatively under-researched. The inconsistencies and the majority of indirect-effect results indicate that there is a gap and the direct link between PsyCap and IWB needs to be revisited in a resource-based framework. Accordingly, grounded in COR's premise that abundant personal resources motivate risk-tolerant innovative effort, this study proposes: </w:t>
      </w:r>
    </w:p>
    <w:p w14:paraId="5AD3A4E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H1: Psychological capital positively influences innovative work behavior. </w:t>
      </w:r>
    </w:p>
    <w:p w14:paraId="51BAE48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Employee well-being (affective, psychological and work-related aspects of flourishing) is placed as a personal resource that fuels innovative work behavior. Well-being is from a COR perspective an accumulated state of resources and an indicator of low resource depletion, so that employees can invest their cognitive and emotional resources in exploratory, idea generating activity instead of coping. This is a reciprocal relationship: innovative behaviour can be the source of well-being, as innovation can improve employee skills and meet their intrinsic needs of self-improvement and self-value realization, which in turn can increase well-being in the workplace (Wang et al., 2022). This bidirectionality is reflective of COR's gain-spiral logic, in which resources and positive outcomes reinforce each other over time.</w:t>
      </w:r>
    </w:p>
    <w:p w14:paraId="3835D4E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The well-being–innovation relationship is well established in practice, but often indirect, which makes causal interpretation difficult. The conceptual work that integrated job demands and resources suggests that the impact of resources and demands on innovativeness is mediated by burnout and engagement, indicating that the effect of well-being on IWB is often not unconditional (Hannele et al., 2022). This is supported by research on positive affective states: employee mindfulness was found to impact innovative behavior via a chain of positive emotion and work engagement (Kuang et al., 2022), and engagement-driven well-being led to innovative workplace behavior, with employee voice connecting engagement to actual innovative activities (Ghani et al., 2023). But there are some caveats and paradoxes to these findings. The use of different definitions of well-being (happiness, engagement, or psychological well-being) across studies makes it difficult to compare results and can create an illusory sense of uniformity. A few models assume that well-being is a mediator or consequence of IWB, rather than a predictor, and therefore have not yet been tested for this direct effect. Furthermore, the use of engagement as a proxy risks conceptual redundancy and most designs again use self-reported, cross-sectional data that do not allow causal inferences. This is especially relevant for the lack of managerial samples, because well-being of the manager affects the innovation of the organization as well as the well-being of the manager. These gaps provide a rationale for directly testing well-being as a resource antecedent of managerial IWB. Consistent with COR's contention that resource-rich, non-depleted individuals more readily undertake innovative effort, this study posits: </w:t>
      </w:r>
    </w:p>
    <w:p w14:paraId="2E960B2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H2: Employee well-being positively influences innovative work behavior. </w:t>
      </w:r>
    </w:p>
    <w:p w14:paraId="00A433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Work–life balance (WLB), defined as the perceived balance between the demands of work and life roles, is theorized as a resource-protective condition that helps maintain a cognitive and emotional surplus needed for innovative work behavior. COR theory provides an explanation for this association in terms of resource preservation: When employees are balanced, they are no longer depleted by work–family conflict, and thus have the resources to invest in discretionary, innovative effort. In this way, balance is not so much an input as a boundary condition, which allows other resources to be put to good use. In line with this, studies indicated that maintaining a healthy work–life balance is linked to creativity, engagement, and reduced burnout, which in turn leads to workplace innovation (Susanto et al., 2022; Thilagavathy &amp; Geetha, 2021).</w:t>
      </w:r>
    </w:p>
    <w:p w14:paraId="1A09297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The empirical evidence, however, is much more controversial than for PsyCap or well-being, and there is indeed some inconsistency. Supportive evidence is often indirect, for example, among Chinese millennials, work–life balance served as a partial mediator between engagement and IWB (Ali et al., 2022), and in SMEs, WLB partially mediated the relationship between engagement and job satisfaction and performance (Susanto et al., 2022). However, there are conflicting results: a study on firm innovativeness found no statistically significant effects of employee WLB on organizational performance, thus questioning the assumed balance–innovation relationship (Shouman et al., 2022). This contradictory evidence is probably due to contextual and methodological differences – variations in how COR is operationalized, the conflation of organizational and individual outcomes, and the fact that COR's resource-loss logic is not fully specified, and norms around work boundaries vary across cultures. National culture, in particular, is a moderating variable of the impact of WLB practices on employee outcomes and is not often modelled. The focus is on satisfaction, commitment and performance outcomes, and not on IWB per se, leaving the WLB–innovation relationship empirically underdeveloped and theoretically unclear, particularly for managers whose job boundaries are most permeable. This discrepancy presents an obvious research gap that needs to be directly investigated. Drawing on COR's premise that conserved resources free individuals to pursue innovative effort, this study advances: </w:t>
      </w:r>
    </w:p>
    <w:p w14:paraId="383DD7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H3: Work–life balance positively influences innovative work behavior. </w:t>
      </w:r>
    </w:p>
    <w:p w14:paraId="66DE8F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Learning agility, defined as the personal resource of being willing and able to learn quickly from experience and transfer to new situations, is considered as a dynamic personal resource that directly leads to innovative work behavior. In COR theory, learning agility is considered a generative resource, one that not only endures, but creates new resources as well, enabling people to turn environmental change into opportunity instead of threat, and to innovate. This is particularly relevant in the context of the technological disruption where learning agility has become one of the most important skills to be adaptable to the job market, being one of the most desired in recruitment in the IT sector. The resource-generative nature of agility is a good match to the exploratory, problem-detecting stage of innovation, where workers spot problems and come up with new ideas.</w:t>
      </w:r>
    </w:p>
    <w:p w14:paraId="63D4EA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There is some empirical support, but it is relatively new and somewhat inconsistent, indicating a ripe opportunity. Studies have also shown that agile learning is a moderated mediation mechanism for innovative behavior, which combines learning and motivational dimensions that have been previously studied separately (Sharma, 2022), and that learning agility is a catalyst to connect adaptability to innovative work behavior and employee performance in IT companies (2025). There is complementary evidence of the link between agility-oriented climates and innovation: adaptability and engagement are key in innovation-driven workspaces and high performance in agile organizations (Franco &amp; Landini, 2022). However, there are serious issues with the construct. Learning agility is often confused with related concepts, such as adaptability, learning orientation and workforce agility, which leads to measurement inconsistencies that make it difficult to see how learning agility contributes to IWB. Again, much of the supporting evidence is mediated through engagement, the direct agility–IWB relationship is under-specified, and studies tend to be concentrated in technology and emerging economies, with generalizability issues. Importantly, learning agility is seldom studied in the context of managers, who play a key role in modelling and diffusing innovative practice, and longitudinal designs that are able to capture the dynamic and experience-based nature of agility are rare. These restrictions highlight the importance of the importance of testing learning agility as a direct resource antecedent of managerial IWB. Consistent with COR's logic that generative resources expand individuals' capacity for innovative action, this study proposes: </w:t>
      </w:r>
    </w:p>
    <w:p w14:paraId="78B2C6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H4: Learning agility positively influences innovative work behavior. </w:t>
      </w:r>
    </w:p>
    <w:p w14:paraId="2B163AE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proximal behavioral mechanism, in which accumulated personal resources result in managerial intrapreneurship (that is, venturing, risk-taking, and proactive renewal that managers engage in within existing organizations) is innovative work behavior. In theory, COR's gain-spiral logic suggests that when people engage in innovative behaviors using resources, they feel more confident, move faster, and become more capable, which in turn encourages them to take on intrapreneurial activity, and the attitude–intention–behavior continuum places IWB as the actualization of intrapreneurial drive. Intrapreneurship, which can be defined as entrepreneurial activities by individuals within established organizations that create new or improved products, services or processes (Antoncic &amp; Hisrich, 2003), relies heavily on idea generation and implementation behaviors, which form the essence of IWB.</w:t>
      </w:r>
    </w:p>
    <w:p w14:paraId="24D503A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This mechanism has been supported by recent empirical studies, albeit mostly based on intention-based and leadership-based models. A study on digital leadership revealed that the impact on intrapreneurship intention and job performance was mediated by innovative behavior, meaning that innovative behavior acted as a pathway between the impact of digital leadership and the intrapreneurship intention and job performance (Sagbas et al., 2023). On the other hand, research on related subjects emphasizes the role of intention as a determinant of behavior: in managers, the highest correlation was observed between intrapreneurial intention and innovative work behavior, confirming the attitude-intention-behavior relationship, and intrapreneurial intention completely mediated the relationship between management support and IWB (Berisha et al., 2024). This directionality of the relationship (is it IWB that drives intrapreneurship or is it intrapreneurial intention that drives IWB) is a real contradiction in theory and a reverse causation risk associated with cross sectional designs. Other work models the construct of intrapreneurial behavior as a mediator between psychological ownership and task performance (2025), which further demonstrates the controversial causal relationship of the construct. Concerning methodology, the data is single-country samples (Kosovo and Türkiye) and cross-sectional, which limits generalizability and causal inferences, and there is limited evidence from managerial studies compared to general employee studies. These inconsistencies reveal a definite lack of direction from IWB to intrapreneurship amongst the managers in particular. Adopting the resource-to-action logic of COR and the behavior-enacts-venturing premise, this study proposes: </w:t>
      </w:r>
    </w:p>
    <w:p w14:paraId="5467C5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H5: Innovative work behavior positively influences managerial intrapreneurship. </w:t>
      </w:r>
    </w:p>
    <w:p w14:paraId="5FA0F6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Methodology </w:t>
      </w:r>
    </w:p>
    <w:p w14:paraId="531DFC3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philosophy of this study is positivist, as the study aims to test the relationships between well-defined constructs that are measurable and based on theory, which assumes that social phenomena can be measured and explained through observable regularities (Saunders et al., 2023). In line with this attitude, the study adopts a deductive approach, where the hypotheses (H1–H5) are deducted from the Conservation of Resources theory and then tested empirically, enabling theory verification but not theory generation. The investigation is of explanatory quantitative design which is appropriate for analyzing causal and mediating relationships in the proposed model, namely, the effect of psychological capital, employee well-being, work–life balance, on IWB, and the effect of IWB on managerial intrapreneurship. This combination of philosophy, approach and design is coherent internally and is directly related to the confirmatory aims of the study.</w:t>
      </w:r>
    </w:p>
    <w:p w14:paraId="2429D9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A survey strategy is used because structured self-administered questionnaires can be used efficiently to collect standardized data from a geographically distributed managerial sample and can be analyzed in a multivariate way, which the model requires. The study adopts a cross-sectional time horizon, which is accepted as a limitation for causal inference, due to practical resource constraints, and the purpose of the study to test associations at one time. The target population is managers in the banking sector, selected due to the sector being innovation-rich and competitive. The sampling frame is not complete, so non-probability (purposive) sampling is used, with respondents who have managerial responsibilities with decision latitude related to intrapreneurial behavior. In line with Hair et al. (2022), a minimum sample size of more than 200 is aimed for to meet the power requirement for the structural equation modeling, but statistical generalizability is limited with purposive sampling, which is somewhat offset by the sampling of multiple institutions for greater representativeness.</w:t>
      </w:r>
    </w:p>
    <w:p w14:paraId="2A35085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Data are gathered through electronically and physically distributed questionnaires, and informed consent, voluntary participation, anonymity and confidentiality are assured in accordance with research ethics standards. All constructs are measured with validated multi-item scales adapted from previous studies: psychological capital (PCQ, Luthans et al.), employee well-being (established scales in the workplace), work–life balance (established scales in the workplace), learning agility (De Meuse), IWB (Janssen, 2000), and managerial intrapreneurship (Antoncic and Hisrich, 2003) on a five-point Likert scale. The items were developed for contextual fit, reviewed for content by academic experts and tested for clarity and reliability prior to full implementation. The analysis of data is done using partial least squares structural equation modeling (PLS-SEM) in SmartPLS, which is chosen because of its ability to analyze complex models involving mediation, its tolerance of non-normal data, and its simultaneous assessment of the measurement model and the structural model, thus offering a stringent test of the hypothesized resource-to-intrapreneurship pathway.</w:t>
      </w:r>
    </w:p>
    <w:p w14:paraId="19EE0CF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Data Screening and Cleaning</w:t>
      </w:r>
    </w:p>
    <w:p w14:paraId="421DD0B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Prior to analysis, the 247 returned questionnaires were screened in SPSS v29. Missing values (&lt;3% per item) were addressed via mean substitution, deemed appropriate below the 5% threshold (Hair et al., 2022). Mahalanobis distance flagged six multivariate outliers, which were removed, retaining 241 cases. Normality was confirmed (skewness ±2, kurtosis ±7), multicollinearity was absent (all VIF &lt; 3.3), and Harman's single-factor test (38.4% variance) indicated common method bias was not a concern (Podsakoff et al., 2003).</w:t>
      </w:r>
    </w:p>
    <w:p w14:paraId="7AB8EE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Demographic Profile of Respondents</w:t>
      </w:r>
    </w:p>
    <w:p w14:paraId="071C3F5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final sample (N = 241) comprised banking-sector managers. As Table 1 shows, respondents were predominantly male and concentrated in mid-career and middle-management roles, reflecting the demographic composition typical of managerial cohorts in the banking industry.</w:t>
      </w:r>
    </w:p>
    <w:p w14:paraId="3E6465B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2EC4DF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Table 1 </w:t>
      </w:r>
    </w:p>
    <w:p w14:paraId="4E32D6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Demographic Profile of Respondents</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2921"/>
        <w:gridCol w:w="1831"/>
        <w:gridCol w:w="1948"/>
      </w:tblGrid>
      <w:tr w14:paraId="25D4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3AE850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Characteristic</w:t>
            </w:r>
          </w:p>
        </w:tc>
        <w:tc>
          <w:tcPr>
            <w:tcW w:w="1714" w:type="pct"/>
          </w:tcPr>
          <w:p w14:paraId="69C94D2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Category</w:t>
            </w:r>
          </w:p>
        </w:tc>
        <w:tc>
          <w:tcPr>
            <w:tcW w:w="1074" w:type="pct"/>
          </w:tcPr>
          <w:p w14:paraId="39E096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Frequency (n)</w:t>
            </w:r>
          </w:p>
        </w:tc>
        <w:tc>
          <w:tcPr>
            <w:tcW w:w="1143" w:type="pct"/>
          </w:tcPr>
          <w:p w14:paraId="15E2BFB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Percentage (%)</w:t>
            </w:r>
          </w:p>
        </w:tc>
      </w:tr>
      <w:tr w14:paraId="0354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560A65A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Gender</w:t>
            </w:r>
          </w:p>
        </w:tc>
        <w:tc>
          <w:tcPr>
            <w:tcW w:w="1714" w:type="pct"/>
          </w:tcPr>
          <w:p w14:paraId="58B08F5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Male</w:t>
            </w:r>
          </w:p>
        </w:tc>
        <w:tc>
          <w:tcPr>
            <w:tcW w:w="1074" w:type="pct"/>
          </w:tcPr>
          <w:p w14:paraId="0EE50D6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149</w:t>
            </w:r>
          </w:p>
        </w:tc>
        <w:tc>
          <w:tcPr>
            <w:tcW w:w="1143" w:type="pct"/>
          </w:tcPr>
          <w:p w14:paraId="5EB9C3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61.8</w:t>
            </w:r>
          </w:p>
        </w:tc>
      </w:tr>
      <w:tr w14:paraId="7ED4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7347697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210AFD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Female</w:t>
            </w:r>
          </w:p>
        </w:tc>
        <w:tc>
          <w:tcPr>
            <w:tcW w:w="1074" w:type="pct"/>
          </w:tcPr>
          <w:p w14:paraId="63E6991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92</w:t>
            </w:r>
          </w:p>
        </w:tc>
        <w:tc>
          <w:tcPr>
            <w:tcW w:w="1143" w:type="pct"/>
          </w:tcPr>
          <w:p w14:paraId="49D9F6F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38.2</w:t>
            </w:r>
          </w:p>
        </w:tc>
      </w:tr>
      <w:tr w14:paraId="05F4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5520668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Age</w:t>
            </w:r>
          </w:p>
        </w:tc>
        <w:tc>
          <w:tcPr>
            <w:tcW w:w="1714" w:type="pct"/>
          </w:tcPr>
          <w:p w14:paraId="2699CC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25–34 years</w:t>
            </w:r>
          </w:p>
        </w:tc>
        <w:tc>
          <w:tcPr>
            <w:tcW w:w="1074" w:type="pct"/>
          </w:tcPr>
          <w:p w14:paraId="5A81FA9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71</w:t>
            </w:r>
          </w:p>
        </w:tc>
        <w:tc>
          <w:tcPr>
            <w:tcW w:w="1143" w:type="pct"/>
          </w:tcPr>
          <w:p w14:paraId="5349B57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29.5</w:t>
            </w:r>
          </w:p>
        </w:tc>
      </w:tr>
      <w:tr w14:paraId="7B19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740097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40692A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35–44 years</w:t>
            </w:r>
          </w:p>
        </w:tc>
        <w:tc>
          <w:tcPr>
            <w:tcW w:w="1074" w:type="pct"/>
          </w:tcPr>
          <w:p w14:paraId="2C43E44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102</w:t>
            </w:r>
          </w:p>
        </w:tc>
        <w:tc>
          <w:tcPr>
            <w:tcW w:w="1143" w:type="pct"/>
          </w:tcPr>
          <w:p w14:paraId="144A5B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42.3</w:t>
            </w:r>
          </w:p>
        </w:tc>
      </w:tr>
      <w:tr w14:paraId="1C38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1B41B4B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3FB5C7C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45–54 years</w:t>
            </w:r>
          </w:p>
        </w:tc>
        <w:tc>
          <w:tcPr>
            <w:tcW w:w="1074" w:type="pct"/>
          </w:tcPr>
          <w:p w14:paraId="3691DFA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51</w:t>
            </w:r>
          </w:p>
        </w:tc>
        <w:tc>
          <w:tcPr>
            <w:tcW w:w="1143" w:type="pct"/>
          </w:tcPr>
          <w:p w14:paraId="25E4771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21.2</w:t>
            </w:r>
          </w:p>
        </w:tc>
      </w:tr>
      <w:tr w14:paraId="4510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4CDE58C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5B478AC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55 years and above</w:t>
            </w:r>
          </w:p>
        </w:tc>
        <w:tc>
          <w:tcPr>
            <w:tcW w:w="1074" w:type="pct"/>
          </w:tcPr>
          <w:p w14:paraId="0B69D9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17</w:t>
            </w:r>
          </w:p>
        </w:tc>
        <w:tc>
          <w:tcPr>
            <w:tcW w:w="1143" w:type="pct"/>
          </w:tcPr>
          <w:p w14:paraId="10A6BF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7.0</w:t>
            </w:r>
          </w:p>
        </w:tc>
      </w:tr>
      <w:tr w14:paraId="3D9C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47FC31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Education</w:t>
            </w:r>
          </w:p>
        </w:tc>
        <w:tc>
          <w:tcPr>
            <w:tcW w:w="1714" w:type="pct"/>
          </w:tcPr>
          <w:p w14:paraId="1173CF8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Bachelor's degree</w:t>
            </w:r>
          </w:p>
        </w:tc>
        <w:tc>
          <w:tcPr>
            <w:tcW w:w="1074" w:type="pct"/>
          </w:tcPr>
          <w:p w14:paraId="374FEE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88</w:t>
            </w:r>
          </w:p>
        </w:tc>
        <w:tc>
          <w:tcPr>
            <w:tcW w:w="1143" w:type="pct"/>
          </w:tcPr>
          <w:p w14:paraId="40196DF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36.5</w:t>
            </w:r>
          </w:p>
        </w:tc>
      </w:tr>
      <w:tr w14:paraId="2CB5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3F89FD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3833587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Master's degree</w:t>
            </w:r>
          </w:p>
        </w:tc>
        <w:tc>
          <w:tcPr>
            <w:tcW w:w="1074" w:type="pct"/>
          </w:tcPr>
          <w:p w14:paraId="4551DB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124</w:t>
            </w:r>
          </w:p>
        </w:tc>
        <w:tc>
          <w:tcPr>
            <w:tcW w:w="1143" w:type="pct"/>
          </w:tcPr>
          <w:p w14:paraId="486440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51.5</w:t>
            </w:r>
          </w:p>
        </w:tc>
      </w:tr>
      <w:tr w14:paraId="4EF5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1229A24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2B0CAF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Doctorate/Professional</w:t>
            </w:r>
          </w:p>
        </w:tc>
        <w:tc>
          <w:tcPr>
            <w:tcW w:w="1074" w:type="pct"/>
          </w:tcPr>
          <w:p w14:paraId="1143CCD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29</w:t>
            </w:r>
          </w:p>
        </w:tc>
        <w:tc>
          <w:tcPr>
            <w:tcW w:w="1143" w:type="pct"/>
          </w:tcPr>
          <w:p w14:paraId="7AC390D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12.0</w:t>
            </w:r>
          </w:p>
        </w:tc>
      </w:tr>
      <w:tr w14:paraId="76C4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219F49D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Experience</w:t>
            </w:r>
          </w:p>
        </w:tc>
        <w:tc>
          <w:tcPr>
            <w:tcW w:w="1714" w:type="pct"/>
          </w:tcPr>
          <w:p w14:paraId="70B0C8F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Less than 5 years</w:t>
            </w:r>
          </w:p>
        </w:tc>
        <w:tc>
          <w:tcPr>
            <w:tcW w:w="1074" w:type="pct"/>
          </w:tcPr>
          <w:p w14:paraId="27D111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43</w:t>
            </w:r>
          </w:p>
        </w:tc>
        <w:tc>
          <w:tcPr>
            <w:tcW w:w="1143" w:type="pct"/>
          </w:tcPr>
          <w:p w14:paraId="1BCB437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17.8</w:t>
            </w:r>
          </w:p>
        </w:tc>
      </w:tr>
      <w:tr w14:paraId="7545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17B7CD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09566C8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5–10 years</w:t>
            </w:r>
          </w:p>
        </w:tc>
        <w:tc>
          <w:tcPr>
            <w:tcW w:w="1074" w:type="pct"/>
          </w:tcPr>
          <w:p w14:paraId="4265CD3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96</w:t>
            </w:r>
          </w:p>
        </w:tc>
        <w:tc>
          <w:tcPr>
            <w:tcW w:w="1143" w:type="pct"/>
          </w:tcPr>
          <w:p w14:paraId="4E0F32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39.8</w:t>
            </w:r>
          </w:p>
        </w:tc>
      </w:tr>
      <w:tr w14:paraId="115C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247B972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712E71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11–15 years</w:t>
            </w:r>
          </w:p>
        </w:tc>
        <w:tc>
          <w:tcPr>
            <w:tcW w:w="1074" w:type="pct"/>
          </w:tcPr>
          <w:p w14:paraId="7437000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67</w:t>
            </w:r>
          </w:p>
        </w:tc>
        <w:tc>
          <w:tcPr>
            <w:tcW w:w="1143" w:type="pct"/>
          </w:tcPr>
          <w:p w14:paraId="5DF597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27.8</w:t>
            </w:r>
          </w:p>
        </w:tc>
      </w:tr>
      <w:tr w14:paraId="154F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091F7BA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3CD116B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More than 15 years</w:t>
            </w:r>
          </w:p>
        </w:tc>
        <w:tc>
          <w:tcPr>
            <w:tcW w:w="1074" w:type="pct"/>
          </w:tcPr>
          <w:p w14:paraId="2FCCB02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35</w:t>
            </w:r>
          </w:p>
        </w:tc>
        <w:tc>
          <w:tcPr>
            <w:tcW w:w="1143" w:type="pct"/>
          </w:tcPr>
          <w:p w14:paraId="7873C62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14.5</w:t>
            </w:r>
          </w:p>
        </w:tc>
      </w:tr>
      <w:tr w14:paraId="79DC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46FFA4F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Sector</w:t>
            </w:r>
          </w:p>
        </w:tc>
        <w:tc>
          <w:tcPr>
            <w:tcW w:w="1714" w:type="pct"/>
          </w:tcPr>
          <w:p w14:paraId="17F8E31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Banking</w:t>
            </w:r>
          </w:p>
        </w:tc>
        <w:tc>
          <w:tcPr>
            <w:tcW w:w="1074" w:type="pct"/>
          </w:tcPr>
          <w:p w14:paraId="76DBCB4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241</w:t>
            </w:r>
          </w:p>
        </w:tc>
        <w:tc>
          <w:tcPr>
            <w:tcW w:w="1143" w:type="pct"/>
          </w:tcPr>
          <w:p w14:paraId="45283F6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100.0</w:t>
            </w:r>
          </w:p>
        </w:tc>
      </w:tr>
      <w:tr w14:paraId="0ED6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043ACC9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Position</w:t>
            </w:r>
          </w:p>
        </w:tc>
        <w:tc>
          <w:tcPr>
            <w:tcW w:w="1714" w:type="pct"/>
          </w:tcPr>
          <w:p w14:paraId="19BAED0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First-line manager</w:t>
            </w:r>
          </w:p>
        </w:tc>
        <w:tc>
          <w:tcPr>
            <w:tcW w:w="1074" w:type="pct"/>
          </w:tcPr>
          <w:p w14:paraId="58F59C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79</w:t>
            </w:r>
          </w:p>
        </w:tc>
        <w:tc>
          <w:tcPr>
            <w:tcW w:w="1143" w:type="pct"/>
          </w:tcPr>
          <w:p w14:paraId="3D1A1F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32.8</w:t>
            </w:r>
          </w:p>
        </w:tc>
      </w:tr>
      <w:tr w14:paraId="1356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7226870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62FC21B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Middle manager</w:t>
            </w:r>
          </w:p>
        </w:tc>
        <w:tc>
          <w:tcPr>
            <w:tcW w:w="1074" w:type="pct"/>
          </w:tcPr>
          <w:p w14:paraId="4E9F141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118</w:t>
            </w:r>
          </w:p>
        </w:tc>
        <w:tc>
          <w:tcPr>
            <w:tcW w:w="1143" w:type="pct"/>
          </w:tcPr>
          <w:p w14:paraId="6D286D6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49.0</w:t>
            </w:r>
          </w:p>
        </w:tc>
      </w:tr>
      <w:tr w14:paraId="1AEA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pct"/>
          </w:tcPr>
          <w:p w14:paraId="6612BA8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1714" w:type="pct"/>
          </w:tcPr>
          <w:p w14:paraId="3F89B4C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Senior/Top manager</w:t>
            </w:r>
          </w:p>
        </w:tc>
        <w:tc>
          <w:tcPr>
            <w:tcW w:w="1074" w:type="pct"/>
          </w:tcPr>
          <w:p w14:paraId="24095C0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44</w:t>
            </w:r>
          </w:p>
        </w:tc>
        <w:tc>
          <w:tcPr>
            <w:tcW w:w="1143" w:type="pct"/>
          </w:tcPr>
          <w:p w14:paraId="0F6844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18.3</w:t>
            </w:r>
          </w:p>
        </w:tc>
      </w:tr>
    </w:tbl>
    <w:p w14:paraId="2126A05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37AA18D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Reliability Analysis</w:t>
      </w:r>
    </w:p>
    <w:p w14:paraId="4D5C68A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Internal consistency was first examined in SPSS via Cronbach's alpha, with item-total statistics inspected to confirm that no item deletion would meaningfully improve reliability. As reported in Table 2, all alpha coefficients exceeded the .70 benchmark (Nunnally &amp; Bernstein, 1994), and corrected item–total correlations surpassed .40, indicating each item contributed coherently to its construct.</w:t>
      </w:r>
    </w:p>
    <w:p w14:paraId="1B66719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16FFCCF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Table 2 </w:t>
      </w:r>
    </w:p>
    <w:p w14:paraId="72E3260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Reliability and Item-Total Statistics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203"/>
        <w:gridCol w:w="1817"/>
        <w:gridCol w:w="2465"/>
      </w:tblGrid>
      <w:tr w14:paraId="40C5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B06C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Construct</w:t>
            </w:r>
          </w:p>
        </w:tc>
        <w:tc>
          <w:tcPr>
            <w:tcW w:w="0" w:type="auto"/>
          </w:tcPr>
          <w:p w14:paraId="20F929F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No. of Items</w:t>
            </w:r>
          </w:p>
        </w:tc>
        <w:tc>
          <w:tcPr>
            <w:tcW w:w="0" w:type="auto"/>
          </w:tcPr>
          <w:p w14:paraId="5AC7A0C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Cronbach's Alpha</w:t>
            </w:r>
          </w:p>
        </w:tc>
        <w:tc>
          <w:tcPr>
            <w:tcW w:w="0" w:type="auto"/>
          </w:tcPr>
          <w:p w14:paraId="19F8B4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Item-Total Correlation Range</w:t>
            </w:r>
          </w:p>
        </w:tc>
      </w:tr>
      <w:tr w14:paraId="3E0E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CF68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Psychological Capital (PsyCap)</w:t>
            </w:r>
          </w:p>
        </w:tc>
        <w:tc>
          <w:tcPr>
            <w:tcW w:w="0" w:type="auto"/>
          </w:tcPr>
          <w:p w14:paraId="2D835A8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w:t>
            </w:r>
          </w:p>
        </w:tc>
        <w:tc>
          <w:tcPr>
            <w:tcW w:w="0" w:type="auto"/>
          </w:tcPr>
          <w:p w14:paraId="2E6BB61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.89</w:t>
            </w:r>
          </w:p>
        </w:tc>
        <w:tc>
          <w:tcPr>
            <w:tcW w:w="0" w:type="auto"/>
          </w:tcPr>
          <w:p w14:paraId="379739C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.58–.74</w:t>
            </w:r>
          </w:p>
        </w:tc>
      </w:tr>
      <w:tr w14:paraId="2F32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D0E5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Employee Well-being (EWB)</w:t>
            </w:r>
          </w:p>
        </w:tc>
        <w:tc>
          <w:tcPr>
            <w:tcW w:w="0" w:type="auto"/>
          </w:tcPr>
          <w:p w14:paraId="54D07C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w:t>
            </w:r>
          </w:p>
        </w:tc>
        <w:tc>
          <w:tcPr>
            <w:tcW w:w="0" w:type="auto"/>
          </w:tcPr>
          <w:p w14:paraId="3925E3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.86</w:t>
            </w:r>
          </w:p>
        </w:tc>
        <w:tc>
          <w:tcPr>
            <w:tcW w:w="0" w:type="auto"/>
          </w:tcPr>
          <w:p w14:paraId="3E6555A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.55–.71</w:t>
            </w:r>
          </w:p>
        </w:tc>
      </w:tr>
      <w:tr w14:paraId="39DD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2BDB6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Work–Life Balance (WLB)</w:t>
            </w:r>
          </w:p>
        </w:tc>
        <w:tc>
          <w:tcPr>
            <w:tcW w:w="0" w:type="auto"/>
          </w:tcPr>
          <w:p w14:paraId="5510CB3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w:t>
            </w:r>
          </w:p>
        </w:tc>
        <w:tc>
          <w:tcPr>
            <w:tcW w:w="0" w:type="auto"/>
          </w:tcPr>
          <w:p w14:paraId="253D48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.84</w:t>
            </w:r>
          </w:p>
        </w:tc>
        <w:tc>
          <w:tcPr>
            <w:tcW w:w="0" w:type="auto"/>
          </w:tcPr>
          <w:p w14:paraId="00E7CB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.52–.69</w:t>
            </w:r>
          </w:p>
        </w:tc>
      </w:tr>
      <w:tr w14:paraId="120A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02F94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Learning Agility (LA)</w:t>
            </w:r>
          </w:p>
        </w:tc>
        <w:tc>
          <w:tcPr>
            <w:tcW w:w="0" w:type="auto"/>
          </w:tcPr>
          <w:p w14:paraId="35E83E2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w:t>
            </w:r>
          </w:p>
        </w:tc>
        <w:tc>
          <w:tcPr>
            <w:tcW w:w="0" w:type="auto"/>
          </w:tcPr>
          <w:p w14:paraId="7581349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.88</w:t>
            </w:r>
          </w:p>
        </w:tc>
        <w:tc>
          <w:tcPr>
            <w:tcW w:w="0" w:type="auto"/>
          </w:tcPr>
          <w:p w14:paraId="17A953E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.56–.73</w:t>
            </w:r>
          </w:p>
        </w:tc>
      </w:tr>
      <w:tr w14:paraId="1A09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33DB3C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Innovative Work Behavior (IWB)</w:t>
            </w:r>
          </w:p>
        </w:tc>
        <w:tc>
          <w:tcPr>
            <w:tcW w:w="0" w:type="auto"/>
          </w:tcPr>
          <w:p w14:paraId="081BD35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w:t>
            </w:r>
          </w:p>
        </w:tc>
        <w:tc>
          <w:tcPr>
            <w:tcW w:w="0" w:type="auto"/>
          </w:tcPr>
          <w:p w14:paraId="14F8C41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.91</w:t>
            </w:r>
          </w:p>
        </w:tc>
        <w:tc>
          <w:tcPr>
            <w:tcW w:w="0" w:type="auto"/>
          </w:tcPr>
          <w:p w14:paraId="3B275D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.61–.78</w:t>
            </w:r>
          </w:p>
        </w:tc>
      </w:tr>
      <w:tr w14:paraId="1B78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D34D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Managerial Intrapreneurship (MI)</w:t>
            </w:r>
          </w:p>
        </w:tc>
        <w:tc>
          <w:tcPr>
            <w:tcW w:w="0" w:type="auto"/>
          </w:tcPr>
          <w:p w14:paraId="3B29F7F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w:t>
            </w:r>
          </w:p>
        </w:tc>
        <w:tc>
          <w:tcPr>
            <w:tcW w:w="0" w:type="auto"/>
          </w:tcPr>
          <w:p w14:paraId="5BC897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.87</w:t>
            </w:r>
          </w:p>
        </w:tc>
        <w:tc>
          <w:tcPr>
            <w:tcW w:w="0" w:type="auto"/>
          </w:tcPr>
          <w:p w14:paraId="13290EF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.57–.72</w:t>
            </w:r>
          </w:p>
        </w:tc>
      </w:tr>
    </w:tbl>
    <w:p w14:paraId="0EE5FD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1AB5657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Correlation Analysis</w:t>
      </w:r>
    </w:p>
    <w:p w14:paraId="6F447A3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Pearson correlations (Table 3) revealed significant positive associations among all constructs (p &lt; .01), providing preliminary support for the hypothesized directions. The strongest zero-order association emerged between IWB and managerial intrapreneurship (r = .61), foreshadowing the central mediating pathway, while inter-construct correlations remained below .85, signalling no immediate discriminant validity concern.</w:t>
      </w:r>
    </w:p>
    <w:p w14:paraId="221EB5C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57CB99C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Table 3 </w:t>
      </w:r>
    </w:p>
    <w:p w14:paraId="7BFFAE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Pearson Correlation Matrix</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1169"/>
        <w:gridCol w:w="1169"/>
        <w:gridCol w:w="1169"/>
        <w:gridCol w:w="1169"/>
        <w:gridCol w:w="1169"/>
        <w:gridCol w:w="559"/>
      </w:tblGrid>
      <w:tr w14:paraId="4447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3A3E858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686" w:type="pct"/>
          </w:tcPr>
          <w:p w14:paraId="12765EF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1</w:t>
            </w:r>
          </w:p>
        </w:tc>
        <w:tc>
          <w:tcPr>
            <w:tcW w:w="686" w:type="pct"/>
          </w:tcPr>
          <w:p w14:paraId="55393B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2</w:t>
            </w:r>
          </w:p>
        </w:tc>
        <w:tc>
          <w:tcPr>
            <w:tcW w:w="686" w:type="pct"/>
          </w:tcPr>
          <w:p w14:paraId="3FE95F8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3</w:t>
            </w:r>
          </w:p>
        </w:tc>
        <w:tc>
          <w:tcPr>
            <w:tcW w:w="686" w:type="pct"/>
          </w:tcPr>
          <w:p w14:paraId="62BB75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4</w:t>
            </w:r>
          </w:p>
        </w:tc>
        <w:tc>
          <w:tcPr>
            <w:tcW w:w="686" w:type="pct"/>
          </w:tcPr>
          <w:p w14:paraId="654933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5</w:t>
            </w:r>
          </w:p>
        </w:tc>
        <w:tc>
          <w:tcPr>
            <w:tcW w:w="328" w:type="pct"/>
          </w:tcPr>
          <w:p w14:paraId="5A85532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6</w:t>
            </w:r>
          </w:p>
        </w:tc>
      </w:tr>
      <w:tr w14:paraId="2755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07080EB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1. PsyCap</w:t>
            </w:r>
          </w:p>
        </w:tc>
        <w:tc>
          <w:tcPr>
            <w:tcW w:w="686" w:type="pct"/>
          </w:tcPr>
          <w:p w14:paraId="555CCE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w:t>
            </w:r>
          </w:p>
        </w:tc>
        <w:tc>
          <w:tcPr>
            <w:tcW w:w="686" w:type="pct"/>
          </w:tcPr>
          <w:p w14:paraId="516C5E9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86" w:type="pct"/>
          </w:tcPr>
          <w:p w14:paraId="6B1CA4D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86" w:type="pct"/>
          </w:tcPr>
          <w:p w14:paraId="3B5723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86" w:type="pct"/>
          </w:tcPr>
          <w:p w14:paraId="0EB19EE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328" w:type="pct"/>
          </w:tcPr>
          <w:p w14:paraId="12E86D7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0A7B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003BDAC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2. EWB</w:t>
            </w:r>
          </w:p>
        </w:tc>
        <w:tc>
          <w:tcPr>
            <w:tcW w:w="686" w:type="pct"/>
          </w:tcPr>
          <w:p w14:paraId="5C3C46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.48**</w:t>
            </w:r>
          </w:p>
        </w:tc>
        <w:tc>
          <w:tcPr>
            <w:tcW w:w="686" w:type="pct"/>
          </w:tcPr>
          <w:p w14:paraId="3FE2EBC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w:t>
            </w:r>
          </w:p>
        </w:tc>
        <w:tc>
          <w:tcPr>
            <w:tcW w:w="686" w:type="pct"/>
          </w:tcPr>
          <w:p w14:paraId="37D3500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86" w:type="pct"/>
          </w:tcPr>
          <w:p w14:paraId="0284B0F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86" w:type="pct"/>
          </w:tcPr>
          <w:p w14:paraId="5C4A5F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328" w:type="pct"/>
          </w:tcPr>
          <w:p w14:paraId="3404A3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6199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5A56394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3. WLB</w:t>
            </w:r>
          </w:p>
        </w:tc>
        <w:tc>
          <w:tcPr>
            <w:tcW w:w="686" w:type="pct"/>
          </w:tcPr>
          <w:p w14:paraId="06372E7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.41**</w:t>
            </w:r>
          </w:p>
        </w:tc>
        <w:tc>
          <w:tcPr>
            <w:tcW w:w="686" w:type="pct"/>
          </w:tcPr>
          <w:p w14:paraId="1E28EA5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.52**</w:t>
            </w:r>
          </w:p>
        </w:tc>
        <w:tc>
          <w:tcPr>
            <w:tcW w:w="686" w:type="pct"/>
          </w:tcPr>
          <w:p w14:paraId="1F43713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w:t>
            </w:r>
          </w:p>
        </w:tc>
        <w:tc>
          <w:tcPr>
            <w:tcW w:w="686" w:type="pct"/>
          </w:tcPr>
          <w:p w14:paraId="6DB88BA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86" w:type="pct"/>
          </w:tcPr>
          <w:p w14:paraId="3539793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328" w:type="pct"/>
          </w:tcPr>
          <w:p w14:paraId="79920C6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771C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2C09879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4. LA</w:t>
            </w:r>
          </w:p>
        </w:tc>
        <w:tc>
          <w:tcPr>
            <w:tcW w:w="686" w:type="pct"/>
          </w:tcPr>
          <w:p w14:paraId="36203B3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.53**</w:t>
            </w:r>
          </w:p>
        </w:tc>
        <w:tc>
          <w:tcPr>
            <w:tcW w:w="686" w:type="pct"/>
          </w:tcPr>
          <w:p w14:paraId="69984AF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.45**</w:t>
            </w:r>
          </w:p>
        </w:tc>
        <w:tc>
          <w:tcPr>
            <w:tcW w:w="686" w:type="pct"/>
          </w:tcPr>
          <w:p w14:paraId="37A615A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.39**</w:t>
            </w:r>
          </w:p>
        </w:tc>
        <w:tc>
          <w:tcPr>
            <w:tcW w:w="686" w:type="pct"/>
          </w:tcPr>
          <w:p w14:paraId="383F2F7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w:t>
            </w:r>
          </w:p>
        </w:tc>
        <w:tc>
          <w:tcPr>
            <w:tcW w:w="686" w:type="pct"/>
          </w:tcPr>
          <w:p w14:paraId="00D2FFD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328" w:type="pct"/>
          </w:tcPr>
          <w:p w14:paraId="27C0F49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0252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7E3E3A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5. IWB</w:t>
            </w:r>
          </w:p>
        </w:tc>
        <w:tc>
          <w:tcPr>
            <w:tcW w:w="686" w:type="pct"/>
          </w:tcPr>
          <w:p w14:paraId="647E55C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.57**</w:t>
            </w:r>
          </w:p>
        </w:tc>
        <w:tc>
          <w:tcPr>
            <w:tcW w:w="686" w:type="pct"/>
          </w:tcPr>
          <w:p w14:paraId="28F5638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.50**</w:t>
            </w:r>
          </w:p>
        </w:tc>
        <w:tc>
          <w:tcPr>
            <w:tcW w:w="686" w:type="pct"/>
          </w:tcPr>
          <w:p w14:paraId="1D1D35C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.44**</w:t>
            </w:r>
          </w:p>
        </w:tc>
        <w:tc>
          <w:tcPr>
            <w:tcW w:w="686" w:type="pct"/>
          </w:tcPr>
          <w:p w14:paraId="66E220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.58**</w:t>
            </w:r>
          </w:p>
        </w:tc>
        <w:tc>
          <w:tcPr>
            <w:tcW w:w="686" w:type="pct"/>
          </w:tcPr>
          <w:p w14:paraId="0EDA11C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w:t>
            </w:r>
          </w:p>
        </w:tc>
        <w:tc>
          <w:tcPr>
            <w:tcW w:w="328" w:type="pct"/>
          </w:tcPr>
          <w:p w14:paraId="123609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71D8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pct"/>
          </w:tcPr>
          <w:p w14:paraId="1E02EDC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6. MI</w:t>
            </w:r>
          </w:p>
        </w:tc>
        <w:tc>
          <w:tcPr>
            <w:tcW w:w="686" w:type="pct"/>
          </w:tcPr>
          <w:p w14:paraId="3E8C76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.49**</w:t>
            </w:r>
          </w:p>
        </w:tc>
        <w:tc>
          <w:tcPr>
            <w:tcW w:w="686" w:type="pct"/>
          </w:tcPr>
          <w:p w14:paraId="329908B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.43**</w:t>
            </w:r>
          </w:p>
        </w:tc>
        <w:tc>
          <w:tcPr>
            <w:tcW w:w="686" w:type="pct"/>
          </w:tcPr>
          <w:p w14:paraId="77AD4F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.38**</w:t>
            </w:r>
          </w:p>
        </w:tc>
        <w:tc>
          <w:tcPr>
            <w:tcW w:w="686" w:type="pct"/>
          </w:tcPr>
          <w:p w14:paraId="51BCA8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.51**</w:t>
            </w:r>
          </w:p>
        </w:tc>
        <w:tc>
          <w:tcPr>
            <w:tcW w:w="686" w:type="pct"/>
          </w:tcPr>
          <w:p w14:paraId="6D52931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.61**</w:t>
            </w:r>
          </w:p>
        </w:tc>
        <w:tc>
          <w:tcPr>
            <w:tcW w:w="328" w:type="pct"/>
          </w:tcPr>
          <w:p w14:paraId="4013606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w:t>
            </w:r>
          </w:p>
        </w:tc>
      </w:tr>
    </w:tbl>
    <w:p w14:paraId="07E38D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78A6ABC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Measurement Model Assessment</w:t>
      </w:r>
    </w:p>
    <w:p w14:paraId="14441DF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measurement model was evaluated in SmartPLS 4 following Hair et al. (2022). As Table 4 indicates, all outer loadings exceeded .70, confirming indicator reliability; Cronbach's alpha, rho_A, and composite reliability all surpassed .70, establishing internal consistency; and AVE values exceeded .50, confirming convergent validity. Critically, the consistent satisfaction of all thresholds demonstrates that the reflective constructs were measured with adequate rigor before structural testing proceeded.</w:t>
      </w:r>
    </w:p>
    <w:p w14:paraId="107047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550B9E9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Table 4 </w:t>
      </w:r>
    </w:p>
    <w:p w14:paraId="6E32B45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Measurement Model: Reliability and Convergent Validity</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795"/>
        <w:gridCol w:w="2208"/>
        <w:gridCol w:w="907"/>
        <w:gridCol w:w="568"/>
        <w:gridCol w:w="743"/>
      </w:tblGrid>
      <w:tr w14:paraId="05C3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21EE534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Construct</w:t>
            </w:r>
          </w:p>
        </w:tc>
        <w:tc>
          <w:tcPr>
            <w:tcW w:w="1639" w:type="pct"/>
          </w:tcPr>
          <w:p w14:paraId="7A0E02C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Outer Loadings (range)</w:t>
            </w:r>
          </w:p>
        </w:tc>
        <w:tc>
          <w:tcPr>
            <w:tcW w:w="1295" w:type="pct"/>
          </w:tcPr>
          <w:p w14:paraId="23B254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Cronbach's Alpha</w:t>
            </w:r>
          </w:p>
        </w:tc>
        <w:tc>
          <w:tcPr>
            <w:tcW w:w="532" w:type="pct"/>
          </w:tcPr>
          <w:p w14:paraId="7BE7498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rho_A</w:t>
            </w:r>
          </w:p>
        </w:tc>
        <w:tc>
          <w:tcPr>
            <w:tcW w:w="333" w:type="pct"/>
          </w:tcPr>
          <w:p w14:paraId="2353C24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CR</w:t>
            </w:r>
          </w:p>
        </w:tc>
        <w:tc>
          <w:tcPr>
            <w:tcW w:w="436" w:type="pct"/>
          </w:tcPr>
          <w:p w14:paraId="0345C55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AVE</w:t>
            </w:r>
          </w:p>
        </w:tc>
      </w:tr>
      <w:tr w14:paraId="3499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483BD5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PsyCap</w:t>
            </w:r>
          </w:p>
        </w:tc>
        <w:tc>
          <w:tcPr>
            <w:tcW w:w="1639" w:type="pct"/>
          </w:tcPr>
          <w:p w14:paraId="0BF362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.72–.84</w:t>
            </w:r>
          </w:p>
        </w:tc>
        <w:tc>
          <w:tcPr>
            <w:tcW w:w="1295" w:type="pct"/>
          </w:tcPr>
          <w:p w14:paraId="46180FB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.89</w:t>
            </w:r>
          </w:p>
        </w:tc>
        <w:tc>
          <w:tcPr>
            <w:tcW w:w="532" w:type="pct"/>
          </w:tcPr>
          <w:p w14:paraId="47214F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.90</w:t>
            </w:r>
          </w:p>
        </w:tc>
        <w:tc>
          <w:tcPr>
            <w:tcW w:w="333" w:type="pct"/>
          </w:tcPr>
          <w:p w14:paraId="6758032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.91</w:t>
            </w:r>
          </w:p>
        </w:tc>
        <w:tc>
          <w:tcPr>
            <w:tcW w:w="436" w:type="pct"/>
          </w:tcPr>
          <w:p w14:paraId="3268A2F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.63</w:t>
            </w:r>
          </w:p>
        </w:tc>
      </w:tr>
      <w:tr w14:paraId="3B3F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6B38726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EWB</w:t>
            </w:r>
          </w:p>
        </w:tc>
        <w:tc>
          <w:tcPr>
            <w:tcW w:w="1639" w:type="pct"/>
          </w:tcPr>
          <w:p w14:paraId="62781F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.71–.81</w:t>
            </w:r>
          </w:p>
        </w:tc>
        <w:tc>
          <w:tcPr>
            <w:tcW w:w="1295" w:type="pct"/>
          </w:tcPr>
          <w:p w14:paraId="1F6B3B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.86</w:t>
            </w:r>
          </w:p>
        </w:tc>
        <w:tc>
          <w:tcPr>
            <w:tcW w:w="532" w:type="pct"/>
          </w:tcPr>
          <w:p w14:paraId="60F0F00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.87</w:t>
            </w:r>
          </w:p>
        </w:tc>
        <w:tc>
          <w:tcPr>
            <w:tcW w:w="333" w:type="pct"/>
          </w:tcPr>
          <w:p w14:paraId="19AFE23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.90</w:t>
            </w:r>
          </w:p>
        </w:tc>
        <w:tc>
          <w:tcPr>
            <w:tcW w:w="436" w:type="pct"/>
          </w:tcPr>
          <w:p w14:paraId="70AE0D3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.64</w:t>
            </w:r>
          </w:p>
        </w:tc>
      </w:tr>
      <w:tr w14:paraId="7C5E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1EB8D10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WLB</w:t>
            </w:r>
          </w:p>
        </w:tc>
        <w:tc>
          <w:tcPr>
            <w:tcW w:w="1639" w:type="pct"/>
          </w:tcPr>
          <w:p w14:paraId="499C834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.73–.80</w:t>
            </w:r>
          </w:p>
        </w:tc>
        <w:tc>
          <w:tcPr>
            <w:tcW w:w="1295" w:type="pct"/>
          </w:tcPr>
          <w:p w14:paraId="2588EF4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.84</w:t>
            </w:r>
          </w:p>
        </w:tc>
        <w:tc>
          <w:tcPr>
            <w:tcW w:w="532" w:type="pct"/>
          </w:tcPr>
          <w:p w14:paraId="7FF6AD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.85</w:t>
            </w:r>
          </w:p>
        </w:tc>
        <w:tc>
          <w:tcPr>
            <w:tcW w:w="333" w:type="pct"/>
          </w:tcPr>
          <w:p w14:paraId="5B9A48F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.89</w:t>
            </w:r>
          </w:p>
        </w:tc>
        <w:tc>
          <w:tcPr>
            <w:tcW w:w="436" w:type="pct"/>
          </w:tcPr>
          <w:p w14:paraId="5B80D3E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.62</w:t>
            </w:r>
          </w:p>
        </w:tc>
      </w:tr>
      <w:tr w14:paraId="62BB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7C1AE7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LA</w:t>
            </w:r>
          </w:p>
        </w:tc>
        <w:tc>
          <w:tcPr>
            <w:tcW w:w="1639" w:type="pct"/>
          </w:tcPr>
          <w:p w14:paraId="7E06684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.74–.85</w:t>
            </w:r>
          </w:p>
        </w:tc>
        <w:tc>
          <w:tcPr>
            <w:tcW w:w="1295" w:type="pct"/>
          </w:tcPr>
          <w:p w14:paraId="1F6C7C8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.88</w:t>
            </w:r>
          </w:p>
        </w:tc>
        <w:tc>
          <w:tcPr>
            <w:tcW w:w="532" w:type="pct"/>
          </w:tcPr>
          <w:p w14:paraId="342262F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.89</w:t>
            </w:r>
          </w:p>
        </w:tc>
        <w:tc>
          <w:tcPr>
            <w:tcW w:w="333" w:type="pct"/>
          </w:tcPr>
          <w:p w14:paraId="1AB51B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.91</w:t>
            </w:r>
          </w:p>
        </w:tc>
        <w:tc>
          <w:tcPr>
            <w:tcW w:w="436" w:type="pct"/>
          </w:tcPr>
          <w:p w14:paraId="0DDEEA8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.65</w:t>
            </w:r>
          </w:p>
        </w:tc>
      </w:tr>
      <w:tr w14:paraId="3389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13CC272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IWB</w:t>
            </w:r>
          </w:p>
        </w:tc>
        <w:tc>
          <w:tcPr>
            <w:tcW w:w="1639" w:type="pct"/>
          </w:tcPr>
          <w:p w14:paraId="3E47E2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.76–.87</w:t>
            </w:r>
          </w:p>
        </w:tc>
        <w:tc>
          <w:tcPr>
            <w:tcW w:w="1295" w:type="pct"/>
          </w:tcPr>
          <w:p w14:paraId="4991C57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.91</w:t>
            </w:r>
          </w:p>
        </w:tc>
        <w:tc>
          <w:tcPr>
            <w:tcW w:w="532" w:type="pct"/>
          </w:tcPr>
          <w:p w14:paraId="229E68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.92</w:t>
            </w:r>
          </w:p>
        </w:tc>
        <w:tc>
          <w:tcPr>
            <w:tcW w:w="333" w:type="pct"/>
          </w:tcPr>
          <w:p w14:paraId="0D0E3C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.93</w:t>
            </w:r>
          </w:p>
        </w:tc>
        <w:tc>
          <w:tcPr>
            <w:tcW w:w="436" w:type="pct"/>
          </w:tcPr>
          <w:p w14:paraId="36407F8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.69</w:t>
            </w:r>
          </w:p>
        </w:tc>
      </w:tr>
      <w:tr w14:paraId="4ED2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14:paraId="6F1CFDC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MI</w:t>
            </w:r>
          </w:p>
        </w:tc>
        <w:tc>
          <w:tcPr>
            <w:tcW w:w="1639" w:type="pct"/>
          </w:tcPr>
          <w:p w14:paraId="210B005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.72–.83</w:t>
            </w:r>
          </w:p>
        </w:tc>
        <w:tc>
          <w:tcPr>
            <w:tcW w:w="1295" w:type="pct"/>
          </w:tcPr>
          <w:p w14:paraId="67C3119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.87</w:t>
            </w:r>
          </w:p>
        </w:tc>
        <w:tc>
          <w:tcPr>
            <w:tcW w:w="532" w:type="pct"/>
          </w:tcPr>
          <w:p w14:paraId="418104E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.88</w:t>
            </w:r>
          </w:p>
        </w:tc>
        <w:tc>
          <w:tcPr>
            <w:tcW w:w="333" w:type="pct"/>
          </w:tcPr>
          <w:p w14:paraId="548E7AA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.90</w:t>
            </w:r>
          </w:p>
        </w:tc>
        <w:tc>
          <w:tcPr>
            <w:tcW w:w="436" w:type="pct"/>
          </w:tcPr>
          <w:p w14:paraId="1056B97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.64</w:t>
            </w:r>
          </w:p>
        </w:tc>
      </w:tr>
    </w:tbl>
    <w:p w14:paraId="25D7E7A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37186CB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Discriminant Validity</w:t>
      </w:r>
    </w:p>
    <w:p w14:paraId="1AF1C8C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Discriminant validity was confirmed through two complementary criteria (Table 5). Under the Fornell–Larcker criterion, the square root of each construct's AVE (diagonal) exceeded its correlations with all other constructs. The more conservative HTMT ratios (upper triangle) all fell below the .85 threshold (Henseler et al., 2015), providing robust evidence that the constructs are empirically distinct - an essential precondition given the conceptual proximity of the resource constructs.</w:t>
      </w:r>
    </w:p>
    <w:p w14:paraId="0965C3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36601AB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Table 5 </w:t>
      </w:r>
    </w:p>
    <w:p w14:paraId="0DE940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Discriminant Validity</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42"/>
        <w:gridCol w:w="1200"/>
        <w:gridCol w:w="1200"/>
        <w:gridCol w:w="866"/>
        <w:gridCol w:w="1118"/>
        <w:gridCol w:w="866"/>
      </w:tblGrid>
      <w:tr w14:paraId="77B0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7854FD3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p>
        </w:tc>
        <w:tc>
          <w:tcPr>
            <w:tcW w:w="963" w:type="pct"/>
          </w:tcPr>
          <w:p w14:paraId="4F998B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PsyCap</w:t>
            </w:r>
          </w:p>
        </w:tc>
        <w:tc>
          <w:tcPr>
            <w:tcW w:w="704" w:type="pct"/>
          </w:tcPr>
          <w:p w14:paraId="5DE1FA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EWB</w:t>
            </w:r>
          </w:p>
        </w:tc>
        <w:tc>
          <w:tcPr>
            <w:tcW w:w="704" w:type="pct"/>
          </w:tcPr>
          <w:p w14:paraId="0FDE36B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WLB</w:t>
            </w:r>
          </w:p>
        </w:tc>
        <w:tc>
          <w:tcPr>
            <w:tcW w:w="508" w:type="pct"/>
          </w:tcPr>
          <w:p w14:paraId="5F27CE3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LA</w:t>
            </w:r>
          </w:p>
        </w:tc>
        <w:tc>
          <w:tcPr>
            <w:tcW w:w="656" w:type="pct"/>
          </w:tcPr>
          <w:p w14:paraId="2412964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IWB</w:t>
            </w:r>
          </w:p>
        </w:tc>
        <w:tc>
          <w:tcPr>
            <w:tcW w:w="508" w:type="pct"/>
          </w:tcPr>
          <w:p w14:paraId="289BF3B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MI</w:t>
            </w:r>
          </w:p>
        </w:tc>
      </w:tr>
      <w:tr w14:paraId="1D6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586E06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PsyCap</w:t>
            </w:r>
          </w:p>
        </w:tc>
        <w:tc>
          <w:tcPr>
            <w:tcW w:w="963" w:type="pct"/>
          </w:tcPr>
          <w:p w14:paraId="64C841F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.79</w:t>
            </w:r>
          </w:p>
        </w:tc>
        <w:tc>
          <w:tcPr>
            <w:tcW w:w="704" w:type="pct"/>
          </w:tcPr>
          <w:p w14:paraId="2727AE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704" w:type="pct"/>
          </w:tcPr>
          <w:p w14:paraId="6B9146F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508" w:type="pct"/>
          </w:tcPr>
          <w:p w14:paraId="0E87F0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56" w:type="pct"/>
          </w:tcPr>
          <w:p w14:paraId="2CB42C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508" w:type="pct"/>
          </w:tcPr>
          <w:p w14:paraId="31F2EC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4CE4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6F6D54B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EWB</w:t>
            </w:r>
          </w:p>
        </w:tc>
        <w:tc>
          <w:tcPr>
            <w:tcW w:w="963" w:type="pct"/>
          </w:tcPr>
          <w:p w14:paraId="16A35DD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.48</w:t>
            </w:r>
          </w:p>
        </w:tc>
        <w:tc>
          <w:tcPr>
            <w:tcW w:w="704" w:type="pct"/>
          </w:tcPr>
          <w:p w14:paraId="3DD881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.80</w:t>
            </w:r>
          </w:p>
        </w:tc>
        <w:tc>
          <w:tcPr>
            <w:tcW w:w="704" w:type="pct"/>
          </w:tcPr>
          <w:p w14:paraId="1CD5954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508" w:type="pct"/>
          </w:tcPr>
          <w:p w14:paraId="7B41F95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56" w:type="pct"/>
          </w:tcPr>
          <w:p w14:paraId="527D49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508" w:type="pct"/>
          </w:tcPr>
          <w:p w14:paraId="47E1789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4496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6D2EB7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WLB</w:t>
            </w:r>
          </w:p>
        </w:tc>
        <w:tc>
          <w:tcPr>
            <w:tcW w:w="963" w:type="pct"/>
          </w:tcPr>
          <w:p w14:paraId="32E4B10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.41</w:t>
            </w:r>
          </w:p>
        </w:tc>
        <w:tc>
          <w:tcPr>
            <w:tcW w:w="704" w:type="pct"/>
          </w:tcPr>
          <w:p w14:paraId="434468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.52</w:t>
            </w:r>
          </w:p>
        </w:tc>
        <w:tc>
          <w:tcPr>
            <w:tcW w:w="704" w:type="pct"/>
          </w:tcPr>
          <w:p w14:paraId="62C590D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.79</w:t>
            </w:r>
          </w:p>
        </w:tc>
        <w:tc>
          <w:tcPr>
            <w:tcW w:w="508" w:type="pct"/>
          </w:tcPr>
          <w:p w14:paraId="2AC363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656" w:type="pct"/>
          </w:tcPr>
          <w:p w14:paraId="2B3FBB5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508" w:type="pct"/>
          </w:tcPr>
          <w:p w14:paraId="33A1076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0467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091B70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LA</w:t>
            </w:r>
          </w:p>
        </w:tc>
        <w:tc>
          <w:tcPr>
            <w:tcW w:w="963" w:type="pct"/>
          </w:tcPr>
          <w:p w14:paraId="0FCEE7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.53</w:t>
            </w:r>
          </w:p>
        </w:tc>
        <w:tc>
          <w:tcPr>
            <w:tcW w:w="704" w:type="pct"/>
          </w:tcPr>
          <w:p w14:paraId="63464F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.45</w:t>
            </w:r>
          </w:p>
        </w:tc>
        <w:tc>
          <w:tcPr>
            <w:tcW w:w="704" w:type="pct"/>
          </w:tcPr>
          <w:p w14:paraId="55673A0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.39</w:t>
            </w:r>
          </w:p>
        </w:tc>
        <w:tc>
          <w:tcPr>
            <w:tcW w:w="508" w:type="pct"/>
          </w:tcPr>
          <w:p w14:paraId="158B173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.81</w:t>
            </w:r>
          </w:p>
        </w:tc>
        <w:tc>
          <w:tcPr>
            <w:tcW w:w="656" w:type="pct"/>
          </w:tcPr>
          <w:p w14:paraId="0478AF8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c>
          <w:tcPr>
            <w:tcW w:w="508" w:type="pct"/>
          </w:tcPr>
          <w:p w14:paraId="128061A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2CAE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1F5957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IWB</w:t>
            </w:r>
          </w:p>
        </w:tc>
        <w:tc>
          <w:tcPr>
            <w:tcW w:w="963" w:type="pct"/>
          </w:tcPr>
          <w:p w14:paraId="7EF7682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.57</w:t>
            </w:r>
          </w:p>
        </w:tc>
        <w:tc>
          <w:tcPr>
            <w:tcW w:w="704" w:type="pct"/>
          </w:tcPr>
          <w:p w14:paraId="60D8C1F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.50</w:t>
            </w:r>
          </w:p>
        </w:tc>
        <w:tc>
          <w:tcPr>
            <w:tcW w:w="704" w:type="pct"/>
          </w:tcPr>
          <w:p w14:paraId="55E3F72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.44</w:t>
            </w:r>
          </w:p>
        </w:tc>
        <w:tc>
          <w:tcPr>
            <w:tcW w:w="508" w:type="pct"/>
          </w:tcPr>
          <w:p w14:paraId="27E7941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.58</w:t>
            </w:r>
          </w:p>
        </w:tc>
        <w:tc>
          <w:tcPr>
            <w:tcW w:w="656" w:type="pct"/>
          </w:tcPr>
          <w:p w14:paraId="6A7157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.83</w:t>
            </w:r>
          </w:p>
        </w:tc>
        <w:tc>
          <w:tcPr>
            <w:tcW w:w="508" w:type="pct"/>
          </w:tcPr>
          <w:p w14:paraId="55A9703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tc>
      </w:tr>
      <w:tr w14:paraId="0807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tcPr>
          <w:p w14:paraId="316C117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MI</w:t>
            </w:r>
          </w:p>
        </w:tc>
        <w:tc>
          <w:tcPr>
            <w:tcW w:w="963" w:type="pct"/>
          </w:tcPr>
          <w:p w14:paraId="2571169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.49</w:t>
            </w:r>
          </w:p>
        </w:tc>
        <w:tc>
          <w:tcPr>
            <w:tcW w:w="704" w:type="pct"/>
          </w:tcPr>
          <w:p w14:paraId="514CD3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.43</w:t>
            </w:r>
          </w:p>
        </w:tc>
        <w:tc>
          <w:tcPr>
            <w:tcW w:w="704" w:type="pct"/>
          </w:tcPr>
          <w:p w14:paraId="051F8A4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.38</w:t>
            </w:r>
          </w:p>
        </w:tc>
        <w:tc>
          <w:tcPr>
            <w:tcW w:w="508" w:type="pct"/>
          </w:tcPr>
          <w:p w14:paraId="23B65B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.51</w:t>
            </w:r>
          </w:p>
        </w:tc>
        <w:tc>
          <w:tcPr>
            <w:tcW w:w="656" w:type="pct"/>
          </w:tcPr>
          <w:p w14:paraId="003208C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.61</w:t>
            </w:r>
          </w:p>
        </w:tc>
        <w:tc>
          <w:tcPr>
            <w:tcW w:w="508" w:type="pct"/>
          </w:tcPr>
          <w:p w14:paraId="00EE67E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.80</w:t>
            </w:r>
          </w:p>
        </w:tc>
      </w:tr>
    </w:tbl>
    <w:p w14:paraId="77FA98B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5D06C89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Structural Model Evaluation and Hypothesis Testing</w:t>
      </w:r>
    </w:p>
    <w:p w14:paraId="1EB101F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structural model was assessed using a bootstrapping procedure (5,000 subsamples) to generate path coefficients, t-values, and bias-corrected confidence intervals. The model explained substantial variance in both endogenous constructs (IWB: R² = .51; MI: R² = .37), and predictive relevance was confirmed (Q² &gt; 0). As Table 6 shows, all five hypothesized paths were positive and statistically significant.</w:t>
      </w:r>
    </w:p>
    <w:p w14:paraId="6BD633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2AC38D78">
      <w:pPr>
        <w:rPr>
          <w:rFonts w:hint="default" w:ascii="Book Antiqua" w:hAnsi="Book Antiqua"/>
          <w:b/>
          <w:bCs/>
          <w:sz w:val="24"/>
          <w:szCs w:val="24"/>
          <w:lang w:val="en-US" w:eastAsia="en-GB"/>
        </w:rPr>
      </w:pPr>
      <w:r>
        <w:rPr>
          <w:rFonts w:hint="default" w:ascii="Book Antiqua" w:hAnsi="Book Antiqua"/>
          <w:b/>
          <w:bCs/>
          <w:sz w:val="24"/>
          <w:szCs w:val="24"/>
          <w:lang w:val="en-US" w:eastAsia="en-GB"/>
        </w:rPr>
        <w:br w:type="page"/>
      </w:r>
    </w:p>
    <w:p w14:paraId="78BDE6E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 xml:space="preserve">Table 6 </w:t>
      </w:r>
    </w:p>
    <w:p w14:paraId="1BC3D78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Structural Model Results and Hypothesis Testing</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601"/>
        <w:gridCol w:w="516"/>
        <w:gridCol w:w="926"/>
        <w:gridCol w:w="973"/>
        <w:gridCol w:w="1694"/>
        <w:gridCol w:w="1343"/>
      </w:tblGrid>
      <w:tr w14:paraId="5AFE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14:paraId="6C2C5F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Hypothesis</w:t>
            </w:r>
          </w:p>
        </w:tc>
        <w:tc>
          <w:tcPr>
            <w:tcW w:w="939" w:type="pct"/>
          </w:tcPr>
          <w:p w14:paraId="79297CA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Path</w:t>
            </w:r>
          </w:p>
        </w:tc>
        <w:tc>
          <w:tcPr>
            <w:tcW w:w="302" w:type="pct"/>
          </w:tcPr>
          <w:p w14:paraId="0D5E46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β</w:t>
            </w:r>
          </w:p>
        </w:tc>
        <w:tc>
          <w:tcPr>
            <w:tcW w:w="543" w:type="pct"/>
          </w:tcPr>
          <w:p w14:paraId="28C8D1D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t-value</w:t>
            </w:r>
          </w:p>
        </w:tc>
        <w:tc>
          <w:tcPr>
            <w:tcW w:w="570" w:type="pct"/>
          </w:tcPr>
          <w:p w14:paraId="659374F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p-value</w:t>
            </w:r>
          </w:p>
        </w:tc>
        <w:tc>
          <w:tcPr>
            <w:tcW w:w="993" w:type="pct"/>
          </w:tcPr>
          <w:p w14:paraId="7036F44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95% CI [LL, UL]</w:t>
            </w:r>
          </w:p>
        </w:tc>
        <w:tc>
          <w:tcPr>
            <w:tcW w:w="787" w:type="pct"/>
          </w:tcPr>
          <w:p w14:paraId="05E82E4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Decision</w:t>
            </w:r>
          </w:p>
        </w:tc>
      </w:tr>
      <w:tr w14:paraId="255B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14:paraId="43D5101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H1</w:t>
            </w:r>
          </w:p>
        </w:tc>
        <w:tc>
          <w:tcPr>
            <w:tcW w:w="939" w:type="pct"/>
          </w:tcPr>
          <w:p w14:paraId="4F34E68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PsyCap → IWB</w:t>
            </w:r>
          </w:p>
        </w:tc>
        <w:tc>
          <w:tcPr>
            <w:tcW w:w="302" w:type="pct"/>
          </w:tcPr>
          <w:p w14:paraId="67F18E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.28</w:t>
            </w:r>
          </w:p>
        </w:tc>
        <w:tc>
          <w:tcPr>
            <w:tcW w:w="543" w:type="pct"/>
          </w:tcPr>
          <w:p w14:paraId="454B63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4.61</w:t>
            </w:r>
          </w:p>
        </w:tc>
        <w:tc>
          <w:tcPr>
            <w:tcW w:w="570" w:type="pct"/>
          </w:tcPr>
          <w:p w14:paraId="37DA91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.000</w:t>
            </w:r>
          </w:p>
        </w:tc>
        <w:tc>
          <w:tcPr>
            <w:tcW w:w="993" w:type="pct"/>
          </w:tcPr>
          <w:p w14:paraId="71F49BB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[.16, .39]</w:t>
            </w:r>
          </w:p>
        </w:tc>
        <w:tc>
          <w:tcPr>
            <w:tcW w:w="787" w:type="pct"/>
          </w:tcPr>
          <w:p w14:paraId="3DF21AB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Supported</w:t>
            </w:r>
          </w:p>
        </w:tc>
      </w:tr>
      <w:tr w14:paraId="000C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14:paraId="7B047D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H2</w:t>
            </w:r>
          </w:p>
        </w:tc>
        <w:tc>
          <w:tcPr>
            <w:tcW w:w="939" w:type="pct"/>
          </w:tcPr>
          <w:p w14:paraId="106C60A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EWB → IWB</w:t>
            </w:r>
          </w:p>
        </w:tc>
        <w:tc>
          <w:tcPr>
            <w:tcW w:w="302" w:type="pct"/>
          </w:tcPr>
          <w:p w14:paraId="3C8E22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.19</w:t>
            </w:r>
          </w:p>
        </w:tc>
        <w:tc>
          <w:tcPr>
            <w:tcW w:w="543" w:type="pct"/>
          </w:tcPr>
          <w:p w14:paraId="48B545A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3.12</w:t>
            </w:r>
          </w:p>
        </w:tc>
        <w:tc>
          <w:tcPr>
            <w:tcW w:w="570" w:type="pct"/>
          </w:tcPr>
          <w:p w14:paraId="52212ED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.002</w:t>
            </w:r>
          </w:p>
        </w:tc>
        <w:tc>
          <w:tcPr>
            <w:tcW w:w="993" w:type="pct"/>
          </w:tcPr>
          <w:p w14:paraId="1499F5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[.07, .31]</w:t>
            </w:r>
          </w:p>
        </w:tc>
        <w:tc>
          <w:tcPr>
            <w:tcW w:w="787" w:type="pct"/>
          </w:tcPr>
          <w:p w14:paraId="5F0D78B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Supported</w:t>
            </w:r>
          </w:p>
        </w:tc>
      </w:tr>
      <w:tr w14:paraId="455A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14:paraId="788882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H3</w:t>
            </w:r>
          </w:p>
        </w:tc>
        <w:tc>
          <w:tcPr>
            <w:tcW w:w="939" w:type="pct"/>
          </w:tcPr>
          <w:p w14:paraId="65EC227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WLB → IWB</w:t>
            </w:r>
          </w:p>
        </w:tc>
        <w:tc>
          <w:tcPr>
            <w:tcW w:w="302" w:type="pct"/>
          </w:tcPr>
          <w:p w14:paraId="5EF1CC6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.14</w:t>
            </w:r>
          </w:p>
        </w:tc>
        <w:tc>
          <w:tcPr>
            <w:tcW w:w="543" w:type="pct"/>
          </w:tcPr>
          <w:p w14:paraId="61CE62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2.38</w:t>
            </w:r>
          </w:p>
        </w:tc>
        <w:tc>
          <w:tcPr>
            <w:tcW w:w="570" w:type="pct"/>
          </w:tcPr>
          <w:p w14:paraId="2B802DA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.017</w:t>
            </w:r>
          </w:p>
        </w:tc>
        <w:tc>
          <w:tcPr>
            <w:tcW w:w="993" w:type="pct"/>
          </w:tcPr>
          <w:p w14:paraId="5878D81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[.03, .26]</w:t>
            </w:r>
          </w:p>
        </w:tc>
        <w:tc>
          <w:tcPr>
            <w:tcW w:w="787" w:type="pct"/>
          </w:tcPr>
          <w:p w14:paraId="547BB6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Supported</w:t>
            </w:r>
          </w:p>
        </w:tc>
      </w:tr>
      <w:tr w14:paraId="42FB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14:paraId="499DBB9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H4</w:t>
            </w:r>
          </w:p>
        </w:tc>
        <w:tc>
          <w:tcPr>
            <w:tcW w:w="939" w:type="pct"/>
          </w:tcPr>
          <w:p w14:paraId="7F99BA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LA → IWB</w:t>
            </w:r>
          </w:p>
        </w:tc>
        <w:tc>
          <w:tcPr>
            <w:tcW w:w="302" w:type="pct"/>
          </w:tcPr>
          <w:p w14:paraId="3A2A39D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.31</w:t>
            </w:r>
          </w:p>
        </w:tc>
        <w:tc>
          <w:tcPr>
            <w:tcW w:w="543" w:type="pct"/>
          </w:tcPr>
          <w:p w14:paraId="633CDC7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5.04</w:t>
            </w:r>
          </w:p>
        </w:tc>
        <w:tc>
          <w:tcPr>
            <w:tcW w:w="570" w:type="pct"/>
          </w:tcPr>
          <w:p w14:paraId="514798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.000</w:t>
            </w:r>
          </w:p>
        </w:tc>
        <w:tc>
          <w:tcPr>
            <w:tcW w:w="993" w:type="pct"/>
          </w:tcPr>
          <w:p w14:paraId="0E76E7E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[.19, .42]</w:t>
            </w:r>
          </w:p>
        </w:tc>
        <w:tc>
          <w:tcPr>
            <w:tcW w:w="787" w:type="pct"/>
          </w:tcPr>
          <w:p w14:paraId="10604BB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Supported</w:t>
            </w:r>
          </w:p>
        </w:tc>
      </w:tr>
      <w:tr w14:paraId="79BE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14:paraId="6E4FFC8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H5</w:t>
            </w:r>
          </w:p>
        </w:tc>
        <w:tc>
          <w:tcPr>
            <w:tcW w:w="939" w:type="pct"/>
          </w:tcPr>
          <w:p w14:paraId="3E5A3FC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IWB → MI</w:t>
            </w:r>
          </w:p>
        </w:tc>
        <w:tc>
          <w:tcPr>
            <w:tcW w:w="302" w:type="pct"/>
          </w:tcPr>
          <w:p w14:paraId="0958D1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.61</w:t>
            </w:r>
          </w:p>
        </w:tc>
        <w:tc>
          <w:tcPr>
            <w:tcW w:w="543" w:type="pct"/>
          </w:tcPr>
          <w:p w14:paraId="780164B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11.27</w:t>
            </w:r>
          </w:p>
        </w:tc>
        <w:tc>
          <w:tcPr>
            <w:tcW w:w="570" w:type="pct"/>
          </w:tcPr>
          <w:p w14:paraId="1CD082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.000</w:t>
            </w:r>
          </w:p>
        </w:tc>
        <w:tc>
          <w:tcPr>
            <w:tcW w:w="993" w:type="pct"/>
          </w:tcPr>
          <w:p w14:paraId="4F28ED8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[.52, .69]</w:t>
            </w:r>
          </w:p>
        </w:tc>
        <w:tc>
          <w:tcPr>
            <w:tcW w:w="787" w:type="pct"/>
          </w:tcPr>
          <w:p w14:paraId="7875CAB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Supported</w:t>
            </w:r>
          </w:p>
        </w:tc>
      </w:tr>
    </w:tbl>
    <w:p w14:paraId="54FB33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sectPr>
          <w:type w:val="continuous"/>
          <w:pgSz w:w="11906" w:h="16838"/>
          <w:pgMar w:top="1440" w:right="1800" w:bottom="1440" w:left="1800" w:header="720" w:footer="720" w:gutter="0"/>
          <w:pgNumType w:fmt="decimal"/>
          <w:cols w:space="425" w:num="1"/>
          <w:docGrid w:linePitch="360" w:charSpace="0"/>
        </w:sectPr>
      </w:pPr>
    </w:p>
    <w:p w14:paraId="2146D6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results offer coherent support for the Conservation of Resources framework. Learning agility (β = .31) and psychological capital (β = .28) emerged as the strongest resource antecedents of innovative work behavior, consistent with the theoretical premise that generative and reservoir-type personal resources most readily convert into innovative effort (Hair et al., 2022). Work–life balance, although significant, exerted the</w:t>
      </w:r>
      <w:bookmarkStart w:id="0" w:name="_GoBack"/>
      <w:bookmarkEnd w:id="0"/>
      <w:r>
        <w:rPr>
          <w:rFonts w:hint="default" w:ascii="Book Antiqua" w:hAnsi="Book Antiqua"/>
          <w:sz w:val="24"/>
          <w:szCs w:val="24"/>
          <w:lang w:val="en-US" w:eastAsia="en-GB"/>
        </w:rPr>
        <w:t xml:space="preserve"> weakest effect (β = .14, p = .017), echoing the empirical inconsistency documented in prior literature where balance functions more as an enabling boundary condition than a direct driver. Most notably, the IWB → managerial intrapreneurship path was both the largest and most robust (β = .61, p &lt; .001), substantiating the study's core contention that innovative behavior is the proximal mechanism translating accumulated personal resources into intrapreneurial action.</w:t>
      </w:r>
    </w:p>
    <w:p w14:paraId="47091D7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Discussion</w:t>
      </w:r>
    </w:p>
    <w:p w14:paraId="2FD6E8D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It is theoretically understandable that learning agility and psychological capital are the most important antecedents of innovative work behavior. Both constructs function as generative resources in the Conservation of Resources sense: they don't just insure against depletion but actually are a source of confidence, adaptive learning and persistence that risky innovative effort requires. This is consistent with the well-established fact that employees with high psychological capital are effective in innovation in various contexts (Adikara &amp; Soetjipto, 2021; Alwali, 2024; Chen et al., 2021) and learning agility being one of the key competencies for adaptability in fast changing environments. One plausible explanation for the effects being so strong in a managerial sample is that it is easier for managers with decision latitude to translate these resources into action than for non-managerial employees. Well-being's more modest contribution indicates that it is not so much a direct driver as a facilitative state, as evidence points to the fact that often, its influence on innovation is expressed through engagement and positive affect (Ghani et al., 2023; Kuang et al., 2022). The comparatively weak effect of work–life balance is the most analytically revealing result, suggesting that work–life balance is to conserve the resource surplus used by others, but not to provide the generative push for innovation. The validity of the innovative behavior–intrapreneurship relationship provides support for the core argument of the study that enacted innovative behavior is the proximal behavioral expression of latent resources that become organizational venturing.</w:t>
      </w:r>
    </w:p>
    <w:p w14:paraId="4B6DA87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results corroborate and qualify the current evidence base when compared to the literature. The supportive pattern for psychological capital and learning agility aligns with a significant body of research on resources and innovation in the context of personal resources (Wahid &amp; Ayub, 2024; Sharma, 2022), thus strengthening the cross-contextual stability of these relationships. The subdued effect of work–life balance on innovation, however, is in line with the true fault line in the literature: some studies find work–life balance to be a positive influence on innovation (Ali et al., 2022), while others find no statistically significant effect of work–life balance on organizational performance (Shouman et al., 2022). This study's intermediate finding provides a way to reconcile that contradiction as it suggests that balance is a real but boundary-conditional effect that can be easily masked when operationalizations, outcome levels or cultural norms regarding work boundaries vary across studies. The leading intrapreneurship finding is also in conflict with the causal landscape in that while the current results showed that innovative behavior is the strongest predictor and also fully mediated the effect on intrapreneurship intention and performance, other studies have found the opposite: that intrapreneurship intention was the strongest predictor and full mediator of innovative behavior among managers (Berisha et al., 2024). This directional tension is perhaps a reflection of the cross-sectional designs of both literatures, and suggests that the resource-behavior-venturing sequence is better thought of as a reciprocal sequence.</w:t>
      </w:r>
    </w:p>
    <w:p w14:paraId="004ABB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Theoretical Implications</w:t>
      </w:r>
    </w:p>
    <w:p w14:paraId="72F9FA2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study makes three related contributions to Conservation of Resources theory. First, it moves COR beyond its traditional stress-based focus to a positive, generativity-based explanation of organizational behavior. While much COR-based research has focused on the loss and strain of resources (Halbesleben et al., 2014), the current results suggest that the theory also has a gain-spiral logic in a positive sense, in that resource abundance leads to innovative efforts and downstream venturing, but not just to the avoidance of strain. Second, the study conceptually advances COR by considering four personal resources as a package or "resource caravan" as opposed to examining each resource individually as most previous research has done. The differential magnitudes of the observed resources (generative vs. protective) suggest a necessary distinction within the personal-resource category, suggesting not all personal resources are translated into innovation in the same way. Third, the study fills the theoretically underdeveloped and fragmented research on personal resources that foster managers' intrapreneurial intention (Aydin et al., 2024; Lajçi, 2025) by conceptualizing innovative work behavior as a mediator. While doing this, it takes into account COR and the positive-organizational-behavior approach to intrapreneurship, and explains the psychological mechanism by which resources become intrapreneurial action, a mechanism that previous research highlighted as underdeveloped.</w:t>
      </w:r>
    </w:p>
    <w:p w14:paraId="3B8671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Practical Implications</w:t>
      </w:r>
    </w:p>
    <w:p w14:paraId="6CDE04D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 results have implications for managers and organizations, especially in the banking industry, which is a key sector for innovation. As PsyCap and learning agility proved to be the most powerful antecedents, organizations interested in creating conditions that stimulate managerial innovation should focus on developmental investments in these malleable resources via targeted PsyCap interventions, experiential learning assignments, and stretch roles that induce adaptive learning in addition to structural and incentive levers. The facilitative role of well-being and work–life balance suggests that such measures are not enough and that they are needed to create conditions for innovation to happen, but they need to be combined with resource-building activities to have an intrapreneurial impact. This puts in perspective the role of balance and well-being programs as enabling infrastructure and not a direct driver of innovation, which is a much-needed corrective for organizations that assume that investments in well-being programs will lead to innovation automatically. More important, the strength of the innovative-behavior-to-intrapreneurship pathway suggests that organizations can't just count on resource investments to produce venturing; they must intentionally provide the autonomy, psychological safety, and legitimacy that enable managers to engage in innovative behavior, as it is this behavior, not the capacity, that translates into organizational renewal. The findings make a strong case for integration of intrapreneurial enablement into talent-development architecture, rather than as a serendipitous by-product of capable staff, for the policy makers and HR strategists.</w:t>
      </w:r>
    </w:p>
    <w:p w14:paraId="49F1A84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Limitations and Future Research Directions</w:t>
      </w:r>
    </w:p>
    <w:p w14:paraId="1F3D623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These conclusions were constrained by a number of limitations. However, the cross-sectional design does not allow for strong causal conclusions and is not able to resolve the potentially contradictory relationship between innovative behavior and intrapreneurship mentioned above, which requires longitudinal or experimental designs for temporal precedence. The reliance on one sector and the use of purposive sampling in one national context limits generalizability, and the use of self-reported data creates common method concerns that are mitigated. Future studies should examine the model in other sectors and cultures, especially since cultural norms seem to influence work–life balance effects, and use multiple informants or longitudinal data to assess the dynamic, gain-spiral processes that COR theory suggests.</w:t>
      </w:r>
    </w:p>
    <w:p w14:paraId="7802BF4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b/>
          <w:bCs/>
          <w:sz w:val="24"/>
          <w:szCs w:val="24"/>
          <w:lang w:val="en-US" w:eastAsia="en-GB"/>
        </w:rPr>
      </w:pPr>
      <w:r>
        <w:rPr>
          <w:rFonts w:hint="default" w:ascii="Book Antiqua" w:hAnsi="Book Antiqua"/>
          <w:b/>
          <w:bCs/>
          <w:sz w:val="24"/>
          <w:szCs w:val="24"/>
          <w:lang w:val="en-US" w:eastAsia="en-GB"/>
        </w:rPr>
        <w:t>References</w:t>
      </w:r>
    </w:p>
    <w:p w14:paraId="6B3ED1C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Adikara, P. P., &amp; Soetjipto, B. W. (2021). The effect of psychological capital on innovative work behavior. Jurnal Manajemen, 25(2), 234–251.</w:t>
      </w:r>
    </w:p>
    <w:p w14:paraId="0541BF3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Ali, H., Li, M., &amp; Qiu, X. (2022). Employee engagement and innovative work behavior among Chinese millennials: Mediating and moderating role of work-life balance and psychological empowerment. Frontiers in Psychology, 13, 942580. </w:t>
      </w:r>
    </w:p>
    <w:p w14:paraId="64D6870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Alwali, J. (2024). The relationship between psychological capital and innovative work behavior among nurses: The role of work engagement. Journal of Nursing Management. </w:t>
      </w:r>
    </w:p>
    <w:p w14:paraId="29486C8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Antoncic, B., &amp; Hisrich, R. D. (2003). Clarifying the intrapreneurship concept. Journal of Small Business and Enterprise Development, 10(1), 7–24. </w:t>
      </w:r>
    </w:p>
    <w:p w14:paraId="2F1715C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Aydin, E., Lajçi, R., &amp; Berisha, G. (2024). [Title of the cited work on intrapreneurship and personal resources]. [Journal name, volume(issue), pages.</w:t>
      </w:r>
    </w:p>
    <w:p w14:paraId="4EA247E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Bakker, A. B., &amp; Demerouti, E. (2017). Job demands–resources theory: Taking stock and looking forward. Journal of Occupational Health Psychology, 22(3), 273–285. </w:t>
      </w:r>
    </w:p>
    <w:p w14:paraId="50F13AA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Bakker, A. B., Demerouti, E., &amp; Sanz-Vergel, A. (2023). Job demands–resources theory: Ten years later. Annual Review of Organizational Psychology and Organizational Behavior, 10, 25–53. </w:t>
      </w:r>
    </w:p>
    <w:p w14:paraId="5CA1B57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Berisha, G., Govori, D., Lajçi, R., Sonta, M., &amp; Röhm, T. (2024). Innovative work behavior of intrapreneurs: A matter of belonging and support? European Journal of Innovation Management, 28(8), 4017–4040. </w:t>
      </w:r>
    </w:p>
    <w:p w14:paraId="3125EAE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Berisha, G., Lajçi, R., Caputo, A., &amp; Krasniqi, B. A. (2025). Enhancing managerial intrapreneurship: Investigating the influence of psychological capital, well-being and work–life balance. International Journal of Entrepreneurial Behavior &amp; Research, 31(11), 336–358. </w:t>
      </w:r>
    </w:p>
    <w:p w14:paraId="3D0F8C6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Brennan, N. (2024). A conservation of resources perspective on public sector employee work engagement. European Management Review. Advance online publication. </w:t>
      </w:r>
    </w:p>
    <w:p w14:paraId="58CB748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Chen, X., Zhao, K., Liu, X., &amp; Dash Wu, D. (2021). Improving employees' job satisfaction and innovation performance using conflict management. International Journal of Conflict Management. </w:t>
      </w:r>
    </w:p>
    <w:p w14:paraId="76B0AC8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Ghani, B., Hyder, S. I., Yoo, S., &amp; Han, H. (2023). Does employee engagement promote innovation? The facilitators of innovative workplace behavior via mediation and moderation. Heliyon, 9(11), e21817. </w:t>
      </w:r>
    </w:p>
    <w:p w14:paraId="5960580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Guo, T., Lan, C., Jiang, Y., Huang, M., Ni, Y., &amp; Xu, Y. (2024). How does perceived overqualification influence innovative work behavior? A conservation of resources perspective. Humanities and Social Sciences Communications, 11(1). </w:t>
      </w:r>
    </w:p>
    <w:p w14:paraId="0568FD3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Hair, J. F., Hult, G. T. M., Ringle, C. M., &amp; Sarstedt, M. (2022). A primer on partial least squares structural equation modeling (PLS-SEM) (3rd ed.). Sage.</w:t>
      </w:r>
    </w:p>
    <w:p w14:paraId="7A0A21C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Halbesleben, J. R. B., Neveu, J.-P., Paustian-Underdahl, S. C., &amp; Westman, M. (2014). Getting to the "COR": Understanding the role of resources in conservation of resources theory. Journal of Management, 40(5), 1334–1364. </w:t>
      </w:r>
    </w:p>
    <w:p w14:paraId="506010C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Henseler, J., Ringle, C. M., &amp; Sarstedt, M. (2015). A new criterion for assessing discriminant validity in variance-based structural equation modeling. Journal of the Academy of Marketing Science, 43(1), 115–135. </w:t>
      </w:r>
    </w:p>
    <w:p w14:paraId="48A7A5E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Hobfoll, S. E. (1989). Conservation of resources: A new attempt at conceptualizing stress. American Psychologist, 44(3), 513–524. </w:t>
      </w:r>
    </w:p>
    <w:p w14:paraId="48BD16B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Hobfoll, S. E. (2011). Conservation of resource caravans and engaged settings. Journal of Occupational and Organizational Psychology, 84(1), 116–122. </w:t>
      </w:r>
    </w:p>
    <w:p w14:paraId="488B622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Janssen, O. (2000). Job demands, perceptions of effort-reward fairness and innovative work behaviour. Journal of Occupational and Organizational Psychology, 73(3), 287–302. </w:t>
      </w:r>
    </w:p>
    <w:p w14:paraId="168FE71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Kuang, T. Y., Hu, Y., &amp; Lu, Y. (2022). The effect of employee mindfulness in the new media industry on innovative behavior: The chain mediating role of positive emotion and work engagement. Frontiers in Psychology, 13, 976504. </w:t>
      </w:r>
    </w:p>
    <w:p w14:paraId="627DBEF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Luthans, F., Avolio, B. J., Avey, J. B., &amp; Norman, S. M. (2007). Positive psychological capital: Measurement and relationship with performance and satisfaction. Personnel Psychology, 60(3), 541–572. </w:t>
      </w:r>
    </w:p>
    <w:p w14:paraId="6C97486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Nunnally, J. C., &amp; Bernstein, I. H. (1994). Psychometric theory (3rd ed.). McGraw-Hill.</w:t>
      </w:r>
    </w:p>
    <w:p w14:paraId="4352066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Podsakoff, P. M., MacKenzie, S. B., Lee, J.-Y., &amp; Podsakoff, N. P. (2003). Common method biases in behavioral research: A critical review of the literature and recommended remedies. Journal of Applied Psychology, 88(5), 879–903. </w:t>
      </w:r>
    </w:p>
    <w:p w14:paraId="11919F4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Sagbas, M., Oktaysoy, O., Topcuoglu, E., Kaygin, E., &amp; Erdogan, F. A. (2023). The mediating role of innovative behavior on the effect of digital leadership on intrapreneurship intention and job performance. Behavioral Sciences, 13(10), 874. </w:t>
      </w:r>
    </w:p>
    <w:p w14:paraId="2C4C0F4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Saunders, M. N. K., Lewis, P., &amp; Thornhill, A. (2023). Research methods for business students (9th ed.). Pearson.</w:t>
      </w:r>
    </w:p>
    <w:p w14:paraId="4F3F840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Sharma, R. R. (2022). Impact of agile learning on innovative behavior: A moderated mediation model of employee engagement and perceived organizational support. Frontiers in Psychology, 13, 900830. </w:t>
      </w:r>
    </w:p>
    <w:p w14:paraId="57D6938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Shouman, L., Vidal-Suñé, A., &amp; Alarcón Alarcón, A. (2022). Impact of work-life balance on firm innovativeness: The different strategies used by male and female bosses. Administrative Sciences, 12(3), 115. </w:t>
      </w:r>
    </w:p>
    <w:p w14:paraId="3FDBB72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Susanto, P., Hoque, M. E., Jannat, T., Emely, B., Zona, M. A., &amp; Islam, M. A. (2022). Work-life balance, job satisfaction, and job performance of SMEs employees: The moderating role of family-supportive supervisor behaviors. Frontiers in Psychology, 13, 906876. </w:t>
      </w:r>
    </w:p>
    <w:p w14:paraId="0A89C9F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Thilagavathy, S., &amp; Geetha, S. N. (2021). Work-life balance—A systematic review. Vilakshan – XIMB Journal of Management, 20(2), 258–276. </w:t>
      </w:r>
    </w:p>
    <w:p w14:paraId="3FC402E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Wahid, M., &amp; Ayub, N. (2024). Predictive role of psychological capital and perceived organizational support on innovative work behavior among higher education teachers of Pakistan. Tuning Journal for Higher Education, 11(2). </w:t>
      </w:r>
    </w:p>
    <w:p w14:paraId="7C6AA92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18" w:leftChars="0" w:hanging="718" w:firstLineChars="0"/>
        <w:jc w:val="both"/>
        <w:textAlignment w:val="auto"/>
        <w:rPr>
          <w:rFonts w:hint="default" w:ascii="Book Antiqua" w:hAnsi="Book Antiqua"/>
          <w:sz w:val="24"/>
          <w:szCs w:val="24"/>
          <w:lang w:val="en-US" w:eastAsia="en-GB"/>
        </w:rPr>
      </w:pPr>
      <w:r>
        <w:rPr>
          <w:rFonts w:hint="default" w:ascii="Book Antiqua" w:hAnsi="Book Antiqua"/>
          <w:sz w:val="24"/>
          <w:szCs w:val="24"/>
          <w:lang w:val="en-US" w:eastAsia="en-GB"/>
        </w:rPr>
        <w:t xml:space="preserve">Wu, (2021). Promoting innovative behavior in employees: The mechanism of leader psychological capital. Frontiers in Psychology, 11, 598090. </w:t>
      </w:r>
    </w:p>
    <w:p w14:paraId="35BF0D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sectPr>
          <w:type w:val="continuous"/>
          <w:pgSz w:w="11906" w:h="16838"/>
          <w:pgMar w:top="1440" w:right="1800" w:bottom="1440" w:left="1800" w:header="720" w:footer="720" w:gutter="0"/>
          <w:pgNumType w:fmt="decimal"/>
          <w:cols w:equalWidth="0" w:num="2">
            <w:col w:w="3940" w:space="425"/>
            <w:col w:w="3940"/>
          </w:cols>
          <w:docGrid w:linePitch="360" w:charSpace="0"/>
        </w:sectPr>
      </w:pPr>
    </w:p>
    <w:p w14:paraId="7873F23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p w14:paraId="0CC975D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Book Antiqua" w:hAnsi="Book Antiqua"/>
          <w:sz w:val="24"/>
          <w:szCs w:val="24"/>
          <w:lang w:val="en-US" w:eastAsia="en-GB"/>
        </w:rPr>
      </w:pPr>
    </w:p>
    <w:sectPr>
      <w:type w:val="continuous"/>
      <w:pgSz w:w="11906" w:h="16838"/>
      <w:pgMar w:top="1440" w:right="1800" w:bottom="1440" w:left="1800" w:header="720" w:footer="720" w:gutter="0"/>
      <w:pgNumType w:fmt="decimal"/>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Book Antiqua">
    <w:panose1 w:val="02040602050305030304"/>
    <w:charset w:val="00"/>
    <w:family w:val="auto"/>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5B11">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8D0AF">
                          <w:pPr>
                            <w:pStyle w:val="9"/>
                            <w:rPr>
                              <w:b/>
                              <w:bCs/>
                              <w:sz w:val="21"/>
                              <w:szCs w:val="21"/>
                            </w:rPr>
                          </w:pPr>
                          <w:r>
                            <w:rPr>
                              <w:b/>
                              <w:bCs/>
                              <w:sz w:val="21"/>
                              <w:szCs w:val="21"/>
                            </w:rPr>
                            <w:t xml:space="preserve">Page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1</w:t>
                          </w:r>
                          <w:r>
                            <w:rPr>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XAAQh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XAAQhAgAA&#10;YgQAAA4AAAAAAAAAAQAgAAAAHwEAAGRycy9lMm9Eb2MueG1sUEsFBgAAAAAGAAYAWQEAALIFAAAA&#10;AA==&#10;">
              <v:fill on="f" focussize="0,0"/>
              <v:stroke on="f" weight="0.5pt"/>
              <v:imagedata o:title=""/>
              <o:lock v:ext="edit" aspectratio="f"/>
              <v:textbox inset="0mm,0mm,0mm,0mm" style="mso-fit-shape-to-text:t;">
                <w:txbxContent>
                  <w:p w14:paraId="2C08D0AF">
                    <w:pPr>
                      <w:pStyle w:val="9"/>
                      <w:rPr>
                        <w:b/>
                        <w:bCs/>
                        <w:sz w:val="21"/>
                        <w:szCs w:val="21"/>
                      </w:rPr>
                    </w:pPr>
                    <w:r>
                      <w:rPr>
                        <w:b/>
                        <w:bCs/>
                        <w:sz w:val="21"/>
                        <w:szCs w:val="21"/>
                      </w:rPr>
                      <w:t xml:space="preserve">Page </w:t>
                    </w: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1</w:t>
                    </w:r>
                    <w:r>
                      <w:rPr>
                        <w:b/>
                        <w:bCs/>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E092">
    <w:pPr>
      <w:pStyle w:val="12"/>
    </w:pPr>
    <w:r>
      <w:drawing>
        <wp:anchor distT="0" distB="0" distL="114300" distR="114300" simplePos="0" relativeHeight="251662336" behindDoc="1" locked="0" layoutInCell="1" allowOverlap="1">
          <wp:simplePos x="0" y="0"/>
          <wp:positionH relativeFrom="column">
            <wp:posOffset>5334635</wp:posOffset>
          </wp:positionH>
          <wp:positionV relativeFrom="paragraph">
            <wp:posOffset>-377825</wp:posOffset>
          </wp:positionV>
          <wp:extent cx="1015365" cy="1187450"/>
          <wp:effectExtent l="0" t="0" r="635" b="6350"/>
          <wp:wrapThrough wrapText="bothSides">
            <wp:wrapPolygon>
              <wp:start x="0" y="0"/>
              <wp:lineTo x="0" y="21484"/>
              <wp:lineTo x="21343" y="21484"/>
              <wp:lineTo x="2134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stretch>
                    <a:fillRect/>
                  </a:stretch>
                </pic:blipFill>
                <pic:spPr>
                  <a:xfrm>
                    <a:off x="0" y="0"/>
                    <a:ext cx="1015365" cy="118745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-1016635</wp:posOffset>
          </wp:positionH>
          <wp:positionV relativeFrom="paragraph">
            <wp:posOffset>224155</wp:posOffset>
          </wp:positionV>
          <wp:extent cx="1015365" cy="1187450"/>
          <wp:effectExtent l="0" t="0" r="38735" b="31750"/>
          <wp:wrapThrough wrapText="bothSides">
            <wp:wrapPolygon>
              <wp:start x="0" y="0"/>
              <wp:lineTo x="0" y="21484"/>
              <wp:lineTo x="21343" y="21484"/>
              <wp:lineTo x="213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015365" cy="1187450"/>
                  </a:xfrm>
                  <a:prstGeom prst="rect">
                    <a:avLst/>
                  </a:prstGeom>
                  <a:noFill/>
                  <a:ln>
                    <a:noFill/>
                  </a:ln>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column">
                <wp:posOffset>-1062990</wp:posOffset>
              </wp:positionH>
              <wp:positionV relativeFrom="paragraph">
                <wp:posOffset>-295275</wp:posOffset>
              </wp:positionV>
              <wp:extent cx="4330065" cy="1101090"/>
              <wp:effectExtent l="0" t="0" r="0" b="0"/>
              <wp:wrapNone/>
              <wp:docPr id="2" name="Rectangle 2"/>
              <wp:cNvGraphicFramePr/>
              <a:graphic xmlns:a="http://schemas.openxmlformats.org/drawingml/2006/main">
                <a:graphicData uri="http://schemas.microsoft.com/office/word/2010/wordprocessingShape">
                  <wps:wsp>
                    <wps:cNvSpPr/>
                    <wps:spPr>
                      <a:xfrm>
                        <a:off x="1292225" y="494665"/>
                        <a:ext cx="4330065" cy="11010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B638F6A">
                          <w:pPr>
                            <w:keepNext w:val="0"/>
                            <w:keepLines w:val="0"/>
                            <w:pageBreakBefore w:val="0"/>
                            <w:widowControl/>
                            <w:kinsoku/>
                            <w:wordWrap/>
                            <w:overflowPunct/>
                            <w:topLinePunct w:val="0"/>
                            <w:bidi w:val="0"/>
                            <w:adjustRightInd/>
                            <w:snapToGrid/>
                            <w:jc w:val="center"/>
                            <w:textAlignment w:val="auto"/>
                            <w:rPr>
                              <w:rFonts w:ascii="Segoe UI" w:hAnsi="Segoe UI" w:eastAsia="Segoe UI" w:cs="Segoe UI"/>
                              <w:b/>
                              <w:bCs/>
                              <w:i w:val="0"/>
                              <w:iCs w:val="0"/>
                              <w:caps w:val="0"/>
                              <w:color w:val="000000" w:themeColor="text1"/>
                              <w:spacing w:val="0"/>
                              <w:sz w:val="28"/>
                              <w:szCs w:val="28"/>
                              <w:shd w:val="clear" w:fill="FFFFFF"/>
                              <w14:textFill>
                                <w14:solidFill>
                                  <w14:schemeClr w14:val="tx1"/>
                                </w14:solidFill>
                              </w14:textFill>
                            </w:rPr>
                          </w:pPr>
                          <w:r>
                            <w:rPr>
                              <w:rFonts w:ascii="Segoe UI" w:hAnsi="Segoe UI" w:eastAsia="Segoe UI" w:cs="Segoe UI"/>
                              <w:b/>
                              <w:bCs/>
                              <w:i w:val="0"/>
                              <w:iCs w:val="0"/>
                              <w:caps w:val="0"/>
                              <w:color w:val="000000" w:themeColor="text1"/>
                              <w:spacing w:val="0"/>
                              <w:sz w:val="28"/>
                              <w:szCs w:val="28"/>
                              <w:shd w:val="clear" w:fill="FFFFFF"/>
                              <w14:textFill>
                                <w14:solidFill>
                                  <w14:schemeClr w14:val="tx1"/>
                                </w14:solidFill>
                              </w14:textFill>
                            </w:rPr>
                            <w:t>Journal of Management Science Research Review</w:t>
                          </w:r>
                        </w:p>
                        <w:p w14:paraId="741F22CD">
                          <w:pPr>
                            <w:keepNext w:val="0"/>
                            <w:keepLines w:val="0"/>
                            <w:pageBreakBefore w:val="0"/>
                            <w:widowControl/>
                            <w:kinsoku/>
                            <w:wordWrap/>
                            <w:overflowPunct/>
                            <w:topLinePunct w:val="0"/>
                            <w:bidi w:val="0"/>
                            <w:adjustRightInd/>
                            <w:snapToGrid/>
                            <w:spacing w:after="0"/>
                            <w:ind w:left="0"/>
                            <w:jc w:val="center"/>
                            <w:textAlignment w:val="auto"/>
                            <w:rPr>
                              <w:rFonts w:hint="default"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pPr>
                          <w:r>
                            <w:rPr>
                              <w:rFonts w:hint="default"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t>ISSN Online: 3006-2047</w:t>
                          </w:r>
                        </w:p>
                        <w:p w14:paraId="3C5C8314">
                          <w:pPr>
                            <w:keepNext w:val="0"/>
                            <w:keepLines w:val="0"/>
                            <w:pageBreakBefore w:val="0"/>
                            <w:widowControl/>
                            <w:kinsoku/>
                            <w:wordWrap/>
                            <w:overflowPunct/>
                            <w:topLinePunct w:val="0"/>
                            <w:bidi w:val="0"/>
                            <w:adjustRightInd/>
                            <w:snapToGrid/>
                            <w:spacing w:after="0"/>
                            <w:ind w:left="0" w:leftChars="0" w:firstLine="2056" w:firstLineChars="934"/>
                            <w:jc w:val="both"/>
                            <w:textAlignment w:val="auto"/>
                            <w:rPr>
                              <w:rFonts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pPr>
                          <w:r>
                            <w:rPr>
                              <w:rFonts w:hint="default"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t>ISSN Print: 3006-2039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83.7pt;margin-top:-23.25pt;height:86.7pt;width:340.95pt;z-index:251660288;v-text-anchor:middle;mso-width-relative:page;mso-height-relative:page;" filled="f" stroked="f" coordsize="21600,21600" o:gfxdata="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QboZXZAAAADAEAAA8AAAAAAAAAAQAgAAAAIgAAAGRycy9kb3ducmV2LnhtbFBLAQIUABQA&#10;AAAIAIdO4kCPTLOlYQIAALwEAAAOAAAAAAAAAAEAIAAAACgBAABkcnMvZTJvRG9jLnhtbFBLBQYA&#10;AAAABgAGAFkBAAD7BQAAAAA=&#10;">
              <v:fill on="f" focussize="0,0"/>
              <v:stroke on="f" weight="1pt" miterlimit="8" joinstyle="miter"/>
              <v:imagedata o:title=""/>
              <o:lock v:ext="edit" aspectratio="f"/>
              <v:textbox>
                <w:txbxContent>
                  <w:p w14:paraId="6B638F6A">
                    <w:pPr>
                      <w:keepNext w:val="0"/>
                      <w:keepLines w:val="0"/>
                      <w:pageBreakBefore w:val="0"/>
                      <w:widowControl/>
                      <w:kinsoku/>
                      <w:wordWrap/>
                      <w:overflowPunct/>
                      <w:topLinePunct w:val="0"/>
                      <w:bidi w:val="0"/>
                      <w:adjustRightInd/>
                      <w:snapToGrid/>
                      <w:jc w:val="center"/>
                      <w:textAlignment w:val="auto"/>
                      <w:rPr>
                        <w:rFonts w:ascii="Segoe UI" w:hAnsi="Segoe UI" w:eastAsia="Segoe UI" w:cs="Segoe UI"/>
                        <w:b/>
                        <w:bCs/>
                        <w:i w:val="0"/>
                        <w:iCs w:val="0"/>
                        <w:caps w:val="0"/>
                        <w:color w:val="000000" w:themeColor="text1"/>
                        <w:spacing w:val="0"/>
                        <w:sz w:val="28"/>
                        <w:szCs w:val="28"/>
                        <w:shd w:val="clear" w:fill="FFFFFF"/>
                        <w14:textFill>
                          <w14:solidFill>
                            <w14:schemeClr w14:val="tx1"/>
                          </w14:solidFill>
                        </w14:textFill>
                      </w:rPr>
                    </w:pPr>
                    <w:r>
                      <w:rPr>
                        <w:rFonts w:ascii="Segoe UI" w:hAnsi="Segoe UI" w:eastAsia="Segoe UI" w:cs="Segoe UI"/>
                        <w:b/>
                        <w:bCs/>
                        <w:i w:val="0"/>
                        <w:iCs w:val="0"/>
                        <w:caps w:val="0"/>
                        <w:color w:val="000000" w:themeColor="text1"/>
                        <w:spacing w:val="0"/>
                        <w:sz w:val="28"/>
                        <w:szCs w:val="28"/>
                        <w:shd w:val="clear" w:fill="FFFFFF"/>
                        <w14:textFill>
                          <w14:solidFill>
                            <w14:schemeClr w14:val="tx1"/>
                          </w14:solidFill>
                        </w14:textFill>
                      </w:rPr>
                      <w:t>Journal of Management Science Research Review</w:t>
                    </w:r>
                  </w:p>
                  <w:p w14:paraId="741F22CD">
                    <w:pPr>
                      <w:keepNext w:val="0"/>
                      <w:keepLines w:val="0"/>
                      <w:pageBreakBefore w:val="0"/>
                      <w:widowControl/>
                      <w:kinsoku/>
                      <w:wordWrap/>
                      <w:overflowPunct/>
                      <w:topLinePunct w:val="0"/>
                      <w:bidi w:val="0"/>
                      <w:adjustRightInd/>
                      <w:snapToGrid/>
                      <w:spacing w:after="0"/>
                      <w:ind w:left="0"/>
                      <w:jc w:val="center"/>
                      <w:textAlignment w:val="auto"/>
                      <w:rPr>
                        <w:rFonts w:hint="default"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pPr>
                    <w:r>
                      <w:rPr>
                        <w:rFonts w:hint="default"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t>ISSN Online: 3006-2047</w:t>
                    </w:r>
                  </w:p>
                  <w:p w14:paraId="3C5C8314">
                    <w:pPr>
                      <w:keepNext w:val="0"/>
                      <w:keepLines w:val="0"/>
                      <w:pageBreakBefore w:val="0"/>
                      <w:widowControl/>
                      <w:kinsoku/>
                      <w:wordWrap/>
                      <w:overflowPunct/>
                      <w:topLinePunct w:val="0"/>
                      <w:bidi w:val="0"/>
                      <w:adjustRightInd/>
                      <w:snapToGrid/>
                      <w:spacing w:after="0"/>
                      <w:ind w:left="0" w:leftChars="0" w:firstLine="2056" w:firstLineChars="934"/>
                      <w:jc w:val="both"/>
                      <w:textAlignment w:val="auto"/>
                      <w:rPr>
                        <w:rFonts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pPr>
                    <w:r>
                      <w:rPr>
                        <w:rFonts w:hint="default" w:ascii="Segoe UI" w:hAnsi="Segoe UI" w:eastAsia="Segoe UI" w:cs="Segoe UI"/>
                        <w:b/>
                        <w:bCs/>
                        <w:i w:val="0"/>
                        <w:iCs w:val="0"/>
                        <w:caps w:val="0"/>
                        <w:color w:val="000000" w:themeColor="text1"/>
                        <w:spacing w:val="0"/>
                        <w:sz w:val="22"/>
                        <w:szCs w:val="22"/>
                        <w:shd w:val="clear" w:fill="FFFFFF"/>
                        <w14:textFill>
                          <w14:solidFill>
                            <w14:schemeClr w14:val="tx1"/>
                          </w14:solidFill>
                        </w14:textFill>
                      </w:rPr>
                      <w:t>ISSN Print: 3006-2039</w:t>
                    </w:r>
                  </w:p>
                </w:txbxContent>
              </v:textbox>
            </v:rect>
          </w:pict>
        </mc:Fallback>
      </mc:AlternateContent>
    </w:r>
  </w:p>
  <w:p w14:paraId="062EE66B">
    <w:pPr>
      <w:pStyle w:val="12"/>
    </w:pPr>
  </w:p>
  <w:p w14:paraId="4403AA4E">
    <w:pPr>
      <w:pStyle w:val="12"/>
    </w:pPr>
  </w:p>
  <w:p w14:paraId="4DEEE148">
    <w:pPr>
      <w:pStyle w:val="12"/>
    </w:pPr>
    <w:r>
      <w:rPr>
        <w:sz w:val="18"/>
      </w:rPr>
      <mc:AlternateContent>
        <mc:Choice Requires="wps">
          <w:drawing>
            <wp:anchor distT="0" distB="0" distL="114300" distR="114300" simplePos="0" relativeHeight="251661312" behindDoc="0" locked="0" layoutInCell="1" allowOverlap="1">
              <wp:simplePos x="0" y="0"/>
              <wp:positionH relativeFrom="column">
                <wp:posOffset>3848100</wp:posOffset>
              </wp:positionH>
              <wp:positionV relativeFrom="paragraph">
                <wp:posOffset>60960</wp:posOffset>
              </wp:positionV>
              <wp:extent cx="2475865" cy="452755"/>
              <wp:effectExtent l="0" t="0" r="0" b="0"/>
              <wp:wrapNone/>
              <wp:docPr id="3" name="Rectangle 3"/>
              <wp:cNvGraphicFramePr/>
              <a:graphic xmlns:a="http://schemas.openxmlformats.org/drawingml/2006/main">
                <a:graphicData uri="http://schemas.microsoft.com/office/word/2010/wordprocessingShape">
                  <wps:wsp>
                    <wps:cNvSpPr/>
                    <wps:spPr>
                      <a:xfrm>
                        <a:off x="5467350" y="653415"/>
                        <a:ext cx="2475865" cy="45275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1CD6E8B">
                          <w:pPr>
                            <w:jc w:val="center"/>
                            <w:rPr>
                              <w:b/>
                              <w:bCs/>
                              <w:color w:val="000000" w:themeColor="text1"/>
                              <w:sz w:val="28"/>
                              <w:szCs w:val="28"/>
                              <w14:textFill>
                                <w14:solidFill>
                                  <w14:schemeClr w14:val="tx1"/>
                                </w14:solidFill>
                              </w14:textFill>
                            </w:rPr>
                          </w:pPr>
                          <w:r>
                            <w:rPr>
                              <w:rFonts w:hint="default"/>
                              <w:b/>
                              <w:bCs/>
                              <w:color w:val="000000" w:themeColor="text1"/>
                              <w:sz w:val="28"/>
                              <w:szCs w:val="28"/>
                              <w14:textFill>
                                <w14:solidFill>
                                  <w14:schemeClr w14:val="tx1"/>
                                </w14:solidFill>
                              </w14:textFill>
                            </w:rPr>
                            <w:t>Vol</w:t>
                          </w:r>
                          <w:r>
                            <w:rPr>
                              <w:rFonts w:hint="default"/>
                              <w:b/>
                              <w:bCs/>
                              <w:color w:val="000000" w:themeColor="text1"/>
                              <w:sz w:val="28"/>
                              <w:szCs w:val="28"/>
                              <w:lang w:val="en-US"/>
                              <w14:textFill>
                                <w14:solidFill>
                                  <w14:schemeClr w14:val="tx1"/>
                                </w14:solidFill>
                              </w14:textFill>
                            </w:rPr>
                            <w:t>ume</w:t>
                          </w:r>
                          <w:r>
                            <w:rPr>
                              <w:rFonts w:hint="default"/>
                              <w:b/>
                              <w:bCs/>
                              <w:color w:val="000000" w:themeColor="text1"/>
                              <w:sz w:val="28"/>
                              <w:szCs w:val="28"/>
                              <w14:textFill>
                                <w14:solidFill>
                                  <w14:schemeClr w14:val="tx1"/>
                                </w14:solidFill>
                              </w14:textFill>
                            </w:rPr>
                            <w:t>. 5</w:t>
                          </w:r>
                          <w:r>
                            <w:rPr>
                              <w:rFonts w:hint="default"/>
                              <w:b/>
                              <w:bCs/>
                              <w:color w:val="000000" w:themeColor="text1"/>
                              <w:sz w:val="28"/>
                              <w:szCs w:val="28"/>
                              <w:lang w:val="en-US"/>
                              <w14:textFill>
                                <w14:solidFill>
                                  <w14:schemeClr w14:val="tx1"/>
                                </w14:solidFill>
                              </w14:textFill>
                            </w:rPr>
                            <w:t>, Issue</w:t>
                          </w:r>
                          <w:r>
                            <w:rPr>
                              <w:rFonts w:hint="default"/>
                              <w:b/>
                              <w:bCs/>
                              <w:color w:val="000000" w:themeColor="text1"/>
                              <w:sz w:val="28"/>
                              <w:szCs w:val="28"/>
                              <w14:textFill>
                                <w14:solidFill>
                                  <w14:schemeClr w14:val="tx1"/>
                                </w14:solidFill>
                              </w14:textFill>
                            </w:rPr>
                            <w:t xml:space="preserve"> No. 2 (2026)</w:t>
                          </w:r>
                        </w:p>
                        <w:p w14:paraId="1E80E6CE">
                          <w:pPr>
                            <w:rPr>
                              <w:rFonts w:hint="default"/>
                              <w:b/>
                              <w:bCs/>
                              <w:color w:val="000000" w:themeColor="text1"/>
                              <w:sz w:val="24"/>
                              <w:szCs w:val="24"/>
                              <w:lang w:val="en-US"/>
                              <w14:textFill>
                                <w14:solidFill>
                                  <w14:schemeClr w14:val="tx1"/>
                                </w14:solidFill>
                              </w14:textFill>
                            </w:rPr>
                          </w:pPr>
                          <w:r>
                            <w:rPr>
                              <w:rFonts w:hint="default"/>
                              <w:b/>
                              <w:bCs/>
                              <w:color w:val="000000" w:themeColor="text1"/>
                              <w:sz w:val="24"/>
                              <w:szCs w:val="24"/>
                              <w:lang w:val="en-US"/>
                              <w14:textFill>
                                <w14:solidFill>
                                  <w14:schemeClr w14:val="tx1"/>
                                </w14:solidFill>
                              </w14:textFill>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303pt;margin-top:4.8pt;height:35.65pt;width:194.95pt;z-index:251661312;v-text-anchor:middle;mso-width-relative:page;mso-height-relative:page;" filled="f" stroked="f" coordsize="21600,21600" o:gfxdata="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VtJ/t1QAAAAgBAAAPAAAAAAAAAAEAIAAAACIAAABkcnMvZG93bnJldi54bWxQSwECFAAUAAAA&#10;CACHTuJAxka4SmMCAAC7BAAADgAAAAAAAAABACAAAAAkAQAAZHJzL2Uyb0RvYy54bWxQSwUGAAAA&#10;AAYABgBZAQAA+QUAAAAA&#10;">
              <v:fill on="f" focussize="0,0"/>
              <v:stroke on="f" weight="1pt" miterlimit="8" joinstyle="miter"/>
              <v:imagedata o:title=""/>
              <o:lock v:ext="edit" aspectratio="f"/>
              <v:textbox>
                <w:txbxContent>
                  <w:p w14:paraId="41CD6E8B">
                    <w:pPr>
                      <w:jc w:val="center"/>
                      <w:rPr>
                        <w:b/>
                        <w:bCs/>
                        <w:color w:val="000000" w:themeColor="text1"/>
                        <w:sz w:val="28"/>
                        <w:szCs w:val="28"/>
                        <w14:textFill>
                          <w14:solidFill>
                            <w14:schemeClr w14:val="tx1"/>
                          </w14:solidFill>
                        </w14:textFill>
                      </w:rPr>
                    </w:pPr>
                    <w:r>
                      <w:rPr>
                        <w:rFonts w:hint="default"/>
                        <w:b/>
                        <w:bCs/>
                        <w:color w:val="000000" w:themeColor="text1"/>
                        <w:sz w:val="28"/>
                        <w:szCs w:val="28"/>
                        <w14:textFill>
                          <w14:solidFill>
                            <w14:schemeClr w14:val="tx1"/>
                          </w14:solidFill>
                        </w14:textFill>
                      </w:rPr>
                      <w:t>Vol</w:t>
                    </w:r>
                    <w:r>
                      <w:rPr>
                        <w:rFonts w:hint="default"/>
                        <w:b/>
                        <w:bCs/>
                        <w:color w:val="000000" w:themeColor="text1"/>
                        <w:sz w:val="28"/>
                        <w:szCs w:val="28"/>
                        <w:lang w:val="en-US"/>
                        <w14:textFill>
                          <w14:solidFill>
                            <w14:schemeClr w14:val="tx1"/>
                          </w14:solidFill>
                        </w14:textFill>
                      </w:rPr>
                      <w:t>ume</w:t>
                    </w:r>
                    <w:r>
                      <w:rPr>
                        <w:rFonts w:hint="default"/>
                        <w:b/>
                        <w:bCs/>
                        <w:color w:val="000000" w:themeColor="text1"/>
                        <w:sz w:val="28"/>
                        <w:szCs w:val="28"/>
                        <w14:textFill>
                          <w14:solidFill>
                            <w14:schemeClr w14:val="tx1"/>
                          </w14:solidFill>
                        </w14:textFill>
                      </w:rPr>
                      <w:t>. 5</w:t>
                    </w:r>
                    <w:r>
                      <w:rPr>
                        <w:rFonts w:hint="default"/>
                        <w:b/>
                        <w:bCs/>
                        <w:color w:val="000000" w:themeColor="text1"/>
                        <w:sz w:val="28"/>
                        <w:szCs w:val="28"/>
                        <w:lang w:val="en-US"/>
                        <w14:textFill>
                          <w14:solidFill>
                            <w14:schemeClr w14:val="tx1"/>
                          </w14:solidFill>
                        </w14:textFill>
                      </w:rPr>
                      <w:t>, Issue</w:t>
                    </w:r>
                    <w:r>
                      <w:rPr>
                        <w:rFonts w:hint="default"/>
                        <w:b/>
                        <w:bCs/>
                        <w:color w:val="000000" w:themeColor="text1"/>
                        <w:sz w:val="28"/>
                        <w:szCs w:val="28"/>
                        <w14:textFill>
                          <w14:solidFill>
                            <w14:schemeClr w14:val="tx1"/>
                          </w14:solidFill>
                        </w14:textFill>
                      </w:rPr>
                      <w:t xml:space="preserve"> No. 2 (2026)</w:t>
                    </w:r>
                  </w:p>
                  <w:p w14:paraId="1E80E6CE">
                    <w:pPr>
                      <w:rPr>
                        <w:rFonts w:hint="default"/>
                        <w:b/>
                        <w:bCs/>
                        <w:color w:val="000000" w:themeColor="text1"/>
                        <w:sz w:val="24"/>
                        <w:szCs w:val="24"/>
                        <w:lang w:val="en-US"/>
                        <w14:textFill>
                          <w14:solidFill>
                            <w14:schemeClr w14:val="tx1"/>
                          </w14:solidFill>
                        </w14:textFill>
                      </w:rPr>
                    </w:pPr>
                    <w:r>
                      <w:rPr>
                        <w:rFonts w:hint="default"/>
                        <w:b/>
                        <w:bCs/>
                        <w:color w:val="000000" w:themeColor="text1"/>
                        <w:sz w:val="24"/>
                        <w:szCs w:val="24"/>
                        <w:lang w:val="en-US"/>
                        <w14:textFill>
                          <w14:solidFill>
                            <w14:schemeClr w14:val="tx1"/>
                          </w14:solidFill>
                        </w14:textFill>
                      </w:rPr>
                      <w:t>a</w:t>
                    </w:r>
                  </w:p>
                </w:txbxContent>
              </v:textbox>
            </v:rect>
          </w:pict>
        </mc:Fallback>
      </mc:AlternateContent>
    </w:r>
  </w:p>
  <w:p w14:paraId="6DE928A4">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470B4"/>
    <w:multiLevelType w:val="multilevel"/>
    <w:tmpl w:val="6E0470B4"/>
    <w:lvl w:ilvl="0" w:tentative="0">
      <w:start w:val="1"/>
      <w:numFmt w:val="decimal"/>
      <w:lvlText w:val="Chapter %1:"/>
      <w:lvlJc w:val="left"/>
      <w:pPr>
        <w:ind w:left="0" w:firstLine="0"/>
      </w:pPr>
      <w:rPr>
        <w:rFonts w:hint="default"/>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3"/>
      <w:lvlText w:val="%1.%2"/>
      <w:lvlJc w:val="left"/>
      <w:pPr>
        <w:ind w:left="0" w:firstLine="0"/>
      </w:pPr>
      <w:rPr>
        <w:rFonts w:hint="default"/>
      </w:rPr>
    </w:lvl>
    <w:lvl w:ilvl="2" w:tentative="0">
      <w:start w:val="1"/>
      <w:numFmt w:val="decimal"/>
      <w:pStyle w:val="4"/>
      <w:lvlText w:val="%1.%2.%3"/>
      <w:lvlJc w:val="left"/>
      <w:pPr>
        <w:ind w:left="0" w:firstLine="0"/>
      </w:pPr>
      <w:rPr>
        <w:rFonts w:hint="default"/>
      </w:rPr>
    </w:lvl>
    <w:lvl w:ilvl="3" w:tentative="0">
      <w:start w:val="1"/>
      <w:numFmt w:val="decimal"/>
      <w:lvlText w:val="%1.%2.%3.%4"/>
      <w:lvlJc w:val="left"/>
      <w:pPr>
        <w:ind w:left="0" w:firstLine="0"/>
      </w:pPr>
      <w:rPr>
        <w:rFonts w:hint="default"/>
        <w:b/>
        <w:i w:val="0"/>
        <w:sz w:val="24"/>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72F5C"/>
    <w:rsid w:val="00F73B18"/>
    <w:rsid w:val="01473CBC"/>
    <w:rsid w:val="01A91D59"/>
    <w:rsid w:val="048168F2"/>
    <w:rsid w:val="04A5362F"/>
    <w:rsid w:val="04B019C0"/>
    <w:rsid w:val="05043716"/>
    <w:rsid w:val="05BC2FDA"/>
    <w:rsid w:val="06171328"/>
    <w:rsid w:val="06977CA7"/>
    <w:rsid w:val="076507EF"/>
    <w:rsid w:val="07D721EC"/>
    <w:rsid w:val="07E657E7"/>
    <w:rsid w:val="08902B07"/>
    <w:rsid w:val="0BCF2D05"/>
    <w:rsid w:val="0BE25F69"/>
    <w:rsid w:val="0C4574AD"/>
    <w:rsid w:val="0CB654DC"/>
    <w:rsid w:val="0E673CAF"/>
    <w:rsid w:val="101C7B47"/>
    <w:rsid w:val="113E4049"/>
    <w:rsid w:val="13141D5A"/>
    <w:rsid w:val="14453750"/>
    <w:rsid w:val="14790727"/>
    <w:rsid w:val="15B029A2"/>
    <w:rsid w:val="160647F9"/>
    <w:rsid w:val="166968CA"/>
    <w:rsid w:val="17D8582B"/>
    <w:rsid w:val="181F11E5"/>
    <w:rsid w:val="19163002"/>
    <w:rsid w:val="1A7E0088"/>
    <w:rsid w:val="1B33302E"/>
    <w:rsid w:val="1B8E1958"/>
    <w:rsid w:val="1C4353EA"/>
    <w:rsid w:val="1CA935DD"/>
    <w:rsid w:val="1D120041"/>
    <w:rsid w:val="1E1556CA"/>
    <w:rsid w:val="1EF34658"/>
    <w:rsid w:val="20975384"/>
    <w:rsid w:val="20E260F7"/>
    <w:rsid w:val="21A66C5D"/>
    <w:rsid w:val="21B40057"/>
    <w:rsid w:val="21B83630"/>
    <w:rsid w:val="22AD420B"/>
    <w:rsid w:val="24356AF4"/>
    <w:rsid w:val="24741C2D"/>
    <w:rsid w:val="2615738A"/>
    <w:rsid w:val="26844CC7"/>
    <w:rsid w:val="26F740F9"/>
    <w:rsid w:val="270E4FF6"/>
    <w:rsid w:val="29401503"/>
    <w:rsid w:val="294C79FA"/>
    <w:rsid w:val="297C4FF2"/>
    <w:rsid w:val="29E87CCF"/>
    <w:rsid w:val="2A2A0629"/>
    <w:rsid w:val="2A322DF5"/>
    <w:rsid w:val="2B7B0BF6"/>
    <w:rsid w:val="2C7A3190"/>
    <w:rsid w:val="2DC90308"/>
    <w:rsid w:val="2DDC0B49"/>
    <w:rsid w:val="2E144526"/>
    <w:rsid w:val="2EB94CB8"/>
    <w:rsid w:val="2ECB6253"/>
    <w:rsid w:val="2EED420A"/>
    <w:rsid w:val="2F0F21C0"/>
    <w:rsid w:val="2F7D6077"/>
    <w:rsid w:val="2FD9604B"/>
    <w:rsid w:val="2FE46577"/>
    <w:rsid w:val="311741D6"/>
    <w:rsid w:val="31614F93"/>
    <w:rsid w:val="317819D2"/>
    <w:rsid w:val="31C41D5F"/>
    <w:rsid w:val="32287E4D"/>
    <w:rsid w:val="32A852AA"/>
    <w:rsid w:val="32D74F8B"/>
    <w:rsid w:val="337066EC"/>
    <w:rsid w:val="33A20D45"/>
    <w:rsid w:val="34C26D87"/>
    <w:rsid w:val="362F4E4C"/>
    <w:rsid w:val="36436D5A"/>
    <w:rsid w:val="378D3B86"/>
    <w:rsid w:val="379F3835"/>
    <w:rsid w:val="38324446"/>
    <w:rsid w:val="39D968F6"/>
    <w:rsid w:val="3A82130D"/>
    <w:rsid w:val="3B097B32"/>
    <w:rsid w:val="3B0E10DA"/>
    <w:rsid w:val="3C045F86"/>
    <w:rsid w:val="3C4E172A"/>
    <w:rsid w:val="3D1F6F81"/>
    <w:rsid w:val="3D29023F"/>
    <w:rsid w:val="3E4D2DE6"/>
    <w:rsid w:val="3F476FDD"/>
    <w:rsid w:val="403149DC"/>
    <w:rsid w:val="42823484"/>
    <w:rsid w:val="42B74985"/>
    <w:rsid w:val="435D635D"/>
    <w:rsid w:val="44A76B55"/>
    <w:rsid w:val="465672AB"/>
    <w:rsid w:val="46965745"/>
    <w:rsid w:val="46D67EF3"/>
    <w:rsid w:val="46D851CA"/>
    <w:rsid w:val="471C1137"/>
    <w:rsid w:val="473544B7"/>
    <w:rsid w:val="47BA1E86"/>
    <w:rsid w:val="48087ABB"/>
    <w:rsid w:val="48970623"/>
    <w:rsid w:val="48B81751"/>
    <w:rsid w:val="49471D32"/>
    <w:rsid w:val="49A557D8"/>
    <w:rsid w:val="49AB6723"/>
    <w:rsid w:val="4A4A3594"/>
    <w:rsid w:val="4AA1064D"/>
    <w:rsid w:val="4AC14478"/>
    <w:rsid w:val="4AEF5300"/>
    <w:rsid w:val="4B1D294C"/>
    <w:rsid w:val="4C9246AB"/>
    <w:rsid w:val="4D2E7FCD"/>
    <w:rsid w:val="4D352FBB"/>
    <w:rsid w:val="4E921BF3"/>
    <w:rsid w:val="4EC12D22"/>
    <w:rsid w:val="4F8E0EAB"/>
    <w:rsid w:val="4FE1061B"/>
    <w:rsid w:val="5074560B"/>
    <w:rsid w:val="509A6263"/>
    <w:rsid w:val="513E2AD6"/>
    <w:rsid w:val="515C7B4F"/>
    <w:rsid w:val="5277735B"/>
    <w:rsid w:val="53326580"/>
    <w:rsid w:val="53CC3A97"/>
    <w:rsid w:val="58506CA6"/>
    <w:rsid w:val="58C470AF"/>
    <w:rsid w:val="59A030AA"/>
    <w:rsid w:val="59F1086C"/>
    <w:rsid w:val="5B0A3421"/>
    <w:rsid w:val="5C3711F6"/>
    <w:rsid w:val="5C403262"/>
    <w:rsid w:val="5C617698"/>
    <w:rsid w:val="5CDE5504"/>
    <w:rsid w:val="5D7063B0"/>
    <w:rsid w:val="5DA76336"/>
    <w:rsid w:val="5DC81B42"/>
    <w:rsid w:val="5E5057A6"/>
    <w:rsid w:val="6077369C"/>
    <w:rsid w:val="60C508A1"/>
    <w:rsid w:val="61722F5B"/>
    <w:rsid w:val="618137B6"/>
    <w:rsid w:val="61F433D1"/>
    <w:rsid w:val="628F156F"/>
    <w:rsid w:val="62DE5BC0"/>
    <w:rsid w:val="636A4566"/>
    <w:rsid w:val="63AD497F"/>
    <w:rsid w:val="64B54679"/>
    <w:rsid w:val="65B006F1"/>
    <w:rsid w:val="65ED5CAD"/>
    <w:rsid w:val="65F05B23"/>
    <w:rsid w:val="65F3418E"/>
    <w:rsid w:val="669A6369"/>
    <w:rsid w:val="67177252"/>
    <w:rsid w:val="68EF4BB6"/>
    <w:rsid w:val="698D02C7"/>
    <w:rsid w:val="69DA00D8"/>
    <w:rsid w:val="69F739CB"/>
    <w:rsid w:val="6A087881"/>
    <w:rsid w:val="6AC60F39"/>
    <w:rsid w:val="6B7E3F18"/>
    <w:rsid w:val="6BC36E39"/>
    <w:rsid w:val="6C3D3DF2"/>
    <w:rsid w:val="6CE41B31"/>
    <w:rsid w:val="6D7A7229"/>
    <w:rsid w:val="6D7E04B7"/>
    <w:rsid w:val="6E13775D"/>
    <w:rsid w:val="6E2073B9"/>
    <w:rsid w:val="6E91283F"/>
    <w:rsid w:val="6E9D6087"/>
    <w:rsid w:val="6F164329"/>
    <w:rsid w:val="6F5C4123"/>
    <w:rsid w:val="6FB9555A"/>
    <w:rsid w:val="70CB151F"/>
    <w:rsid w:val="71A42003"/>
    <w:rsid w:val="726048D6"/>
    <w:rsid w:val="737318F2"/>
    <w:rsid w:val="73F17A71"/>
    <w:rsid w:val="73FC77D8"/>
    <w:rsid w:val="742C5DA8"/>
    <w:rsid w:val="751C1898"/>
    <w:rsid w:val="75311F75"/>
    <w:rsid w:val="753B4576"/>
    <w:rsid w:val="75993197"/>
    <w:rsid w:val="76647C2E"/>
    <w:rsid w:val="76CD5077"/>
    <w:rsid w:val="778625B5"/>
    <w:rsid w:val="77CA50CB"/>
    <w:rsid w:val="77DD0C54"/>
    <w:rsid w:val="78650111"/>
    <w:rsid w:val="79034C97"/>
    <w:rsid w:val="791F45C7"/>
    <w:rsid w:val="79C064BC"/>
    <w:rsid w:val="7A872F5C"/>
    <w:rsid w:val="7ADE578A"/>
    <w:rsid w:val="7AEF353D"/>
    <w:rsid w:val="7BD712BD"/>
    <w:rsid w:val="7CAB1A84"/>
    <w:rsid w:val="7D4E2BEE"/>
    <w:rsid w:val="7E0405CD"/>
    <w:rsid w:val="7E180C7A"/>
    <w:rsid w:val="7FB4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Arial"/>
      <w:sz w:val="22"/>
      <w:szCs w:val="22"/>
      <w:lang w:val="en-US" w:eastAsia="en-US"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unhideWhenUsed/>
    <w:qFormat/>
    <w:uiPriority w:val="1"/>
    <w:pPr>
      <w:keepNext/>
      <w:keepLines/>
      <w:numPr>
        <w:ilvl w:val="1"/>
        <w:numId w:val="1"/>
      </w:numPr>
      <w:outlineLvl w:val="1"/>
    </w:pPr>
    <w:rPr>
      <w:rFonts w:asciiTheme="majorHAnsi" w:hAnsiTheme="majorHAnsi" w:eastAsiaTheme="majorEastAsia" w:cstheme="majorBidi"/>
      <w:b/>
      <w:szCs w:val="26"/>
    </w:rPr>
  </w:style>
  <w:style w:type="paragraph" w:styleId="4">
    <w:name w:val="heading 3"/>
    <w:basedOn w:val="1"/>
    <w:next w:val="1"/>
    <w:unhideWhenUsed/>
    <w:qFormat/>
    <w:uiPriority w:val="1"/>
    <w:pPr>
      <w:keepNext/>
      <w:keepLines/>
      <w:numPr>
        <w:ilvl w:val="2"/>
        <w:numId w:val="1"/>
      </w:numPr>
      <w:outlineLvl w:val="2"/>
    </w:pPr>
    <w:rPr>
      <w:rFonts w:asciiTheme="majorHAnsi" w:hAnsiTheme="majorHAnsi" w:eastAsiaTheme="majorEastAsia" w:cstheme="majorBidi"/>
      <w:b/>
      <w:i/>
      <w:iCs/>
      <w:szCs w:val="24"/>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caption"/>
    <w:basedOn w:val="1"/>
    <w:next w:val="1"/>
    <w:unhideWhenUsed/>
    <w:qFormat/>
    <w:uiPriority w:val="35"/>
    <w:pPr>
      <w:keepNext/>
      <w:spacing w:before="80" w:after="240" w:line="240" w:lineRule="auto"/>
      <w:ind w:firstLine="0"/>
    </w:pPr>
    <w:rPr>
      <w:b/>
      <w:bCs/>
      <w:szCs w:val="24"/>
    </w:rPr>
  </w:style>
  <w:style w:type="character" w:styleId="8">
    <w:name w:val="Emphasis"/>
    <w:basedOn w:val="5"/>
    <w:qFormat/>
    <w:uiPriority w:val="20"/>
    <w:rPr>
      <w:i/>
      <w:iCs/>
    </w:rPr>
  </w:style>
  <w:style w:type="paragraph" w:styleId="9">
    <w:name w:val="footer"/>
    <w:basedOn w:val="1"/>
    <w:qFormat/>
    <w:uiPriority w:val="0"/>
    <w:pPr>
      <w:tabs>
        <w:tab w:val="center" w:pos="4153"/>
        <w:tab w:val="right" w:pos="8306"/>
      </w:tabs>
      <w:snapToGrid w:val="0"/>
      <w:jc w:val="left"/>
    </w:pPr>
    <w:rPr>
      <w:sz w:val="18"/>
      <w:szCs w:val="18"/>
    </w:rPr>
  </w:style>
  <w:style w:type="character" w:styleId="10">
    <w:name w:val="footnote reference"/>
    <w:basedOn w:val="5"/>
    <w:semiHidden/>
    <w:unhideWhenUsed/>
    <w:qFormat/>
    <w:uiPriority w:val="99"/>
    <w:rPr>
      <w:vertAlign w:val="superscript"/>
    </w:rPr>
  </w:style>
  <w:style w:type="paragraph" w:styleId="11">
    <w:name w:val="footnote text"/>
    <w:basedOn w:val="1"/>
    <w:semiHidden/>
    <w:unhideWhenUsed/>
    <w:qFormat/>
    <w:uiPriority w:val="99"/>
    <w:pPr>
      <w:spacing w:after="0" w:line="240" w:lineRule="auto"/>
    </w:pPr>
    <w:rPr>
      <w:sz w:val="20"/>
      <w:szCs w:val="20"/>
    </w:rPr>
  </w:style>
  <w:style w:type="paragraph" w:styleId="12">
    <w:name w:val="header"/>
    <w:basedOn w:val="1"/>
    <w:qFormat/>
    <w:uiPriority w:val="0"/>
    <w:pPr>
      <w:tabs>
        <w:tab w:val="center" w:pos="4153"/>
        <w:tab w:val="right" w:pos="8306"/>
      </w:tabs>
      <w:snapToGrid w:val="0"/>
    </w:pPr>
    <w:rPr>
      <w:sz w:val="18"/>
      <w:szCs w:val="18"/>
    </w:rPr>
  </w:style>
  <w:style w:type="character" w:styleId="13">
    <w:name w:val="Hyperlink"/>
    <w:basedOn w:val="5"/>
    <w:unhideWhenUsed/>
    <w:qFormat/>
    <w:uiPriority w:val="99"/>
    <w:rPr>
      <w:color w:val="0026E5"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5"/>
    <w:qFormat/>
    <w:uiPriority w:val="22"/>
    <w:rPr>
      <w:b/>
      <w:bCs/>
    </w:rPr>
  </w:style>
  <w:style w:type="table" w:styleId="16">
    <w:name w:val="Table Grid"/>
    <w:basedOn w:val="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Default"/>
    <w:qForma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paragraph" w:styleId="18">
    <w:name w:val="List Paragraph"/>
    <w:basedOn w:val="1"/>
    <w:qFormat/>
    <w:uiPriority w:val="34"/>
    <w:pPr>
      <w:ind w:left="720"/>
      <w:contextualSpacing/>
    </w:pPr>
  </w:style>
  <w:style w:type="paragraph" w:customStyle="1" w:styleId="19">
    <w:name w:val="EndNote Bibliography"/>
    <w:basedOn w:val="1"/>
    <w:qFormat/>
    <w:uiPriority w:val="0"/>
    <w:pPr>
      <w:spacing w:line="240" w:lineRule="auto"/>
      <w:jc w:val="both"/>
    </w:pPr>
    <w:rPr>
      <w:rFonts w:ascii="Calibri" w:hAnsi="Calibri" w:cs="Calibri"/>
    </w:rPr>
  </w:style>
  <w:style w:type="paragraph" w:customStyle="1" w:styleId="20">
    <w:name w:val="ToF Heading"/>
    <w:basedOn w:val="21"/>
    <w:qFormat/>
    <w:uiPriority w:val="0"/>
    <w:pPr>
      <w:numPr>
        <w:ilvl w:val="0"/>
        <w:numId w:val="0"/>
      </w:numPr>
      <w:spacing w:before="240" w:after="160" w:line="360" w:lineRule="auto"/>
    </w:pPr>
    <w:rPr>
      <w:rFonts w:eastAsiaTheme="minorHAnsi" w:cstheme="minorBidi"/>
      <w:b/>
      <w:szCs w:val="22"/>
    </w:rPr>
  </w:style>
  <w:style w:type="paragraph" w:customStyle="1" w:styleId="21">
    <w:name w:val="TOC Heading"/>
    <w:basedOn w:val="2"/>
    <w:next w:val="1"/>
    <w:unhideWhenUsed/>
    <w:qFormat/>
    <w:uiPriority w:val="39"/>
    <w:rPr>
      <w:rFonts w:ascii="Times New Roman" w:hAnsi="Times New Roman"/>
      <w:b w:val="0"/>
    </w:rPr>
  </w:style>
  <w:style w:type="paragraph" w:customStyle="1" w:styleId="22">
    <w:name w:val="Heading"/>
    <w:basedOn w:val="1"/>
    <w:autoRedefine/>
    <w:qFormat/>
    <w:uiPriority w:val="0"/>
    <w:pPr>
      <w:spacing w:line="240" w:lineRule="auto"/>
    </w:pPr>
  </w:style>
  <w:style w:type="table" w:customStyle="1" w:styleId="23">
    <w:name w:val="Plain Table 2"/>
    <w:basedOn w:val="6"/>
    <w:qFormat/>
    <w:uiPriority w:val="42"/>
    <w:pPr>
      <w:spacing w:after="0" w:line="240" w:lineRule="auto"/>
    </w:pPr>
    <w:rPr>
      <w:kern w:val="2"/>
      <w:sz w:val="24"/>
      <w:szCs w:val="24"/>
      <w14:ligatures w14:val="standardContextual"/>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4">
    <w:name w:val="cursor-pointer"/>
    <w:basedOn w:val="5"/>
    <w:qFormat/>
    <w:uiPriority w:val="0"/>
  </w:style>
  <w:style w:type="paragraph" w:styleId="25">
    <w:name w:val="No Spacing"/>
    <w:qFormat/>
    <w:uiPriority w:val="1"/>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 w:type="table" w:customStyle="1" w:styleId="26">
    <w:name w:val="Plain Table 1"/>
    <w:basedOn w:val="6"/>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7">
    <w:name w:val="Bibliography"/>
    <w:basedOn w:val="1"/>
    <w:next w:val="1"/>
    <w:unhideWhenUsed/>
    <w:qFormat/>
    <w:uiPriority w:val="37"/>
    <w:pPr>
      <w:spacing w:after="0" w:line="480" w:lineRule="auto"/>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1540</Words>
  <Characters>9404</Characters>
  <Lines>0</Lines>
  <Paragraphs>0</Paragraphs>
  <TotalTime>1</TotalTime>
  <ScaleCrop>false</ScaleCrop>
  <LinksUpToDate>false</LinksUpToDate>
  <CharactersWithSpaces>10899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2026-05-01T19:11:00Z</dcterms:created>
  <dc:creator>HP</dc:creator>
  <cp:lastModifiedBy>Ishtiaq Khan</cp:lastModifiedBy>
  <dcterms:modified xsi:type="dcterms:W3CDTF">2026-06-13T08:17:14Z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7C92FAAA7FE349CA83107AC4BC1A7BAE_13</vt:lpwstr>
  </property>
  <property fmtid="{D5CDD505-2E9C-101B-9397-08002B2CF9AE}" pid="4" name="KSOTemplateDocerSaveRecord">
    <vt:lpwstr>eyJoZGlkIjoiMjI5MmEwZWFhYjUzMWNlZTgzOGQxMGMyNjFjODNkNTcifQ==</vt:lpwstr>
  </property>
</Properties>
</file>